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7FE93" w14:textId="2831862E" w:rsidR="00C772E9" w:rsidRDefault="00C772E9" w:rsidP="00C772E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63F7">
        <w:rPr>
          <w:rFonts w:asciiTheme="minorHAnsi" w:hAnsiTheme="minorHAnsi" w:cstheme="minorHAnsi"/>
          <w:b/>
          <w:sz w:val="22"/>
          <w:szCs w:val="22"/>
        </w:rPr>
        <w:t>Remote Student-Staff Liaison Committees – Guidance Notes</w:t>
      </w:r>
    </w:p>
    <w:p w14:paraId="0EF56223" w14:textId="77777777" w:rsidR="00CE0F2E" w:rsidRPr="00B563F7" w:rsidRDefault="00CE0F2E" w:rsidP="00CF105B">
      <w:pPr>
        <w:pStyle w:val="NormalWeb"/>
        <w:shd w:val="clear" w:color="auto" w:fill="FFFFFF"/>
        <w:spacing w:before="0" w:beforeAutospacing="0" w:after="4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E2A2A" w14:textId="741E1696" w:rsidR="00C772E9" w:rsidRDefault="00C772E9" w:rsidP="00CF105B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63F7">
        <w:rPr>
          <w:rFonts w:asciiTheme="minorHAnsi" w:hAnsiTheme="minorHAnsi" w:cstheme="minorHAnsi"/>
          <w:sz w:val="22"/>
          <w:szCs w:val="22"/>
          <w:u w:val="single"/>
        </w:rPr>
        <w:t>Practical considerations</w:t>
      </w:r>
    </w:p>
    <w:p w14:paraId="41557CBE" w14:textId="77777777" w:rsidR="00CF105B" w:rsidRPr="00B563F7" w:rsidRDefault="00CF105B" w:rsidP="00CF105B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9146226" w14:textId="7A42B031" w:rsidR="00C772E9" w:rsidRPr="00B563F7" w:rsidRDefault="00C772E9" w:rsidP="00CF105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F7">
        <w:rPr>
          <w:rFonts w:asciiTheme="minorHAnsi" w:hAnsiTheme="minorHAnsi" w:cstheme="minorHAnsi"/>
          <w:sz w:val="22"/>
          <w:szCs w:val="22"/>
        </w:rPr>
        <w:t xml:space="preserve">Scheduling </w:t>
      </w:r>
      <w:r w:rsidR="0062639B">
        <w:rPr>
          <w:rFonts w:asciiTheme="minorHAnsi" w:hAnsiTheme="minorHAnsi" w:cstheme="minorHAnsi"/>
          <w:sz w:val="22"/>
          <w:szCs w:val="22"/>
        </w:rPr>
        <w:t xml:space="preserve">will </w:t>
      </w:r>
      <w:r w:rsidRPr="00B563F7">
        <w:rPr>
          <w:rFonts w:asciiTheme="minorHAnsi" w:hAnsiTheme="minorHAnsi" w:cstheme="minorHAnsi"/>
          <w:sz w:val="22"/>
          <w:szCs w:val="22"/>
        </w:rPr>
        <w:t>need to take account of time differences. 12:00 or 13:00 GMT mig</w:t>
      </w:r>
      <w:r w:rsidR="00AA40A9">
        <w:rPr>
          <w:rFonts w:asciiTheme="minorHAnsi" w:hAnsiTheme="minorHAnsi" w:cstheme="minorHAnsi"/>
          <w:sz w:val="22"/>
          <w:szCs w:val="22"/>
        </w:rPr>
        <w:t>ht be the most appropriate slot, although Doodle could be used to identify the most convenient time.</w:t>
      </w:r>
    </w:p>
    <w:p w14:paraId="4E06444A" w14:textId="2A8DA2CC" w:rsidR="00C772E9" w:rsidRPr="00B563F7" w:rsidRDefault="00C772E9" w:rsidP="00CF105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F7">
        <w:rPr>
          <w:rFonts w:asciiTheme="minorHAnsi" w:hAnsiTheme="minorHAnsi" w:cstheme="minorHAnsi"/>
          <w:sz w:val="22"/>
          <w:szCs w:val="22"/>
        </w:rPr>
        <w:t xml:space="preserve">Use of MS Teams </w:t>
      </w:r>
      <w:r w:rsidR="0062639B">
        <w:rPr>
          <w:rFonts w:asciiTheme="minorHAnsi" w:hAnsiTheme="minorHAnsi" w:cstheme="minorHAnsi"/>
          <w:sz w:val="22"/>
          <w:szCs w:val="22"/>
        </w:rPr>
        <w:t xml:space="preserve">or Zoom will </w:t>
      </w:r>
      <w:r w:rsidRPr="00B563F7">
        <w:rPr>
          <w:rFonts w:asciiTheme="minorHAnsi" w:hAnsiTheme="minorHAnsi" w:cstheme="minorHAnsi"/>
          <w:sz w:val="22"/>
          <w:szCs w:val="22"/>
        </w:rPr>
        <w:t xml:space="preserve">allow students and staff to join and utilises </w:t>
      </w:r>
      <w:r w:rsidR="0062639B">
        <w:rPr>
          <w:rFonts w:asciiTheme="minorHAnsi" w:hAnsiTheme="minorHAnsi" w:cstheme="minorHAnsi"/>
          <w:sz w:val="22"/>
          <w:szCs w:val="22"/>
        </w:rPr>
        <w:t xml:space="preserve">technology </w:t>
      </w:r>
      <w:r w:rsidR="009746E4" w:rsidRPr="00B563F7">
        <w:rPr>
          <w:rFonts w:asciiTheme="minorHAnsi" w:hAnsiTheme="minorHAnsi" w:cstheme="minorHAnsi"/>
          <w:sz w:val="22"/>
          <w:szCs w:val="22"/>
        </w:rPr>
        <w:t xml:space="preserve">already </w:t>
      </w:r>
      <w:r w:rsidR="0062639B">
        <w:rPr>
          <w:rFonts w:asciiTheme="minorHAnsi" w:hAnsiTheme="minorHAnsi" w:cstheme="minorHAnsi"/>
          <w:sz w:val="22"/>
          <w:szCs w:val="22"/>
        </w:rPr>
        <w:t xml:space="preserve">in use at </w:t>
      </w:r>
      <w:proofErr w:type="spellStart"/>
      <w:r w:rsidR="0062639B">
        <w:rPr>
          <w:rFonts w:asciiTheme="minorHAnsi" w:hAnsiTheme="minorHAnsi" w:cstheme="minorHAnsi"/>
          <w:sz w:val="22"/>
          <w:szCs w:val="22"/>
        </w:rPr>
        <w:t>UoL</w:t>
      </w:r>
      <w:proofErr w:type="spellEnd"/>
      <w:r w:rsidR="009746E4" w:rsidRPr="00B563F7">
        <w:rPr>
          <w:rFonts w:asciiTheme="minorHAnsi" w:hAnsiTheme="minorHAnsi" w:cstheme="minorHAnsi"/>
          <w:sz w:val="22"/>
          <w:szCs w:val="22"/>
        </w:rPr>
        <w:t>.</w:t>
      </w:r>
      <w:r w:rsidR="00AA40A9">
        <w:rPr>
          <w:rFonts w:asciiTheme="minorHAnsi" w:hAnsiTheme="minorHAnsi" w:cstheme="minorHAnsi"/>
          <w:sz w:val="22"/>
          <w:szCs w:val="22"/>
        </w:rPr>
        <w:t xml:space="preserve"> Reps </w:t>
      </w:r>
      <w:r w:rsidR="00BB3248">
        <w:rPr>
          <w:rFonts w:asciiTheme="minorHAnsi" w:hAnsiTheme="minorHAnsi" w:cstheme="minorHAnsi"/>
          <w:sz w:val="22"/>
          <w:szCs w:val="22"/>
        </w:rPr>
        <w:t>c</w:t>
      </w:r>
      <w:r w:rsidR="0062639B">
        <w:rPr>
          <w:rFonts w:asciiTheme="minorHAnsi" w:hAnsiTheme="minorHAnsi" w:cstheme="minorHAnsi"/>
          <w:sz w:val="22"/>
          <w:szCs w:val="22"/>
        </w:rPr>
        <w:t>ould also be encouraged to use</w:t>
      </w:r>
      <w:r w:rsidR="00AA40A9">
        <w:rPr>
          <w:rFonts w:asciiTheme="minorHAnsi" w:hAnsiTheme="minorHAnsi" w:cstheme="minorHAnsi"/>
          <w:sz w:val="22"/>
          <w:szCs w:val="22"/>
        </w:rPr>
        <w:t xml:space="preserve"> Teams to contact other students on the course to gather views and feedback</w:t>
      </w:r>
      <w:r w:rsidR="00BB3248">
        <w:rPr>
          <w:rFonts w:asciiTheme="minorHAnsi" w:hAnsiTheme="minorHAnsi" w:cstheme="minorHAnsi"/>
          <w:sz w:val="22"/>
          <w:szCs w:val="22"/>
        </w:rPr>
        <w:t>, and a Teams space could be set up for this purpose</w:t>
      </w:r>
      <w:r w:rsidR="00AA40A9">
        <w:rPr>
          <w:rFonts w:asciiTheme="minorHAnsi" w:hAnsiTheme="minorHAnsi" w:cstheme="minorHAnsi"/>
          <w:sz w:val="22"/>
          <w:szCs w:val="22"/>
        </w:rPr>
        <w:t>.</w:t>
      </w:r>
    </w:p>
    <w:p w14:paraId="6176A7B8" w14:textId="0181A2FD" w:rsidR="009746E4" w:rsidRPr="00B563F7" w:rsidRDefault="009746E4" w:rsidP="00CF105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F7">
        <w:rPr>
          <w:rFonts w:asciiTheme="minorHAnsi" w:hAnsiTheme="minorHAnsi" w:cstheme="minorHAnsi"/>
          <w:sz w:val="22"/>
          <w:szCs w:val="22"/>
        </w:rPr>
        <w:t>Even if all the scheduled SSLC meetings have taken place for the semester, it is advised that further</w:t>
      </w:r>
      <w:r w:rsidR="00C9146E">
        <w:rPr>
          <w:rFonts w:asciiTheme="minorHAnsi" w:hAnsiTheme="minorHAnsi" w:cstheme="minorHAnsi"/>
          <w:sz w:val="22"/>
          <w:szCs w:val="22"/>
        </w:rPr>
        <w:t>, regular</w:t>
      </w:r>
      <w:r w:rsidRPr="00B563F7">
        <w:rPr>
          <w:rFonts w:asciiTheme="minorHAnsi" w:hAnsiTheme="minorHAnsi" w:cstheme="minorHAnsi"/>
          <w:sz w:val="22"/>
          <w:szCs w:val="22"/>
        </w:rPr>
        <w:t xml:space="preserve"> meetings be held to consider the change in teaching and course delivery. </w:t>
      </w:r>
    </w:p>
    <w:p w14:paraId="200D19B5" w14:textId="07FC48DB" w:rsidR="009746E4" w:rsidRDefault="009746E4" w:rsidP="00CF105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F7">
        <w:rPr>
          <w:rFonts w:asciiTheme="minorHAnsi" w:hAnsiTheme="minorHAnsi" w:cstheme="minorHAnsi"/>
          <w:sz w:val="22"/>
          <w:szCs w:val="22"/>
        </w:rPr>
        <w:t xml:space="preserve">SSLCs </w:t>
      </w:r>
      <w:r w:rsidR="00C9146E">
        <w:rPr>
          <w:rFonts w:asciiTheme="minorHAnsi" w:hAnsiTheme="minorHAnsi" w:cstheme="minorHAnsi"/>
          <w:sz w:val="22"/>
          <w:szCs w:val="22"/>
        </w:rPr>
        <w:t>may be</w:t>
      </w:r>
      <w:r w:rsidRPr="00B563F7">
        <w:rPr>
          <w:rFonts w:asciiTheme="minorHAnsi" w:hAnsiTheme="minorHAnsi" w:cstheme="minorHAnsi"/>
          <w:sz w:val="22"/>
          <w:szCs w:val="22"/>
        </w:rPr>
        <w:t xml:space="preserve"> arranged at the School level, so that experience can be shared across courses within a School.</w:t>
      </w:r>
    </w:p>
    <w:p w14:paraId="7483BF04" w14:textId="77777777" w:rsidR="00CE0F2E" w:rsidRPr="00B563F7" w:rsidRDefault="00CE0F2E" w:rsidP="00CF105B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1A002C1" w14:textId="42934906" w:rsidR="009746E4" w:rsidRDefault="009746E4" w:rsidP="00CF105B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63F7">
        <w:rPr>
          <w:rFonts w:asciiTheme="minorHAnsi" w:hAnsiTheme="minorHAnsi" w:cstheme="minorHAnsi"/>
          <w:sz w:val="22"/>
          <w:szCs w:val="22"/>
          <w:u w:val="single"/>
        </w:rPr>
        <w:t>Suggested areas for discussion</w:t>
      </w:r>
    </w:p>
    <w:p w14:paraId="27654BEA" w14:textId="77777777" w:rsidR="00CF105B" w:rsidRPr="00B563F7" w:rsidRDefault="00CF105B" w:rsidP="00CF105B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2968353" w14:textId="77777777" w:rsidR="009746E4" w:rsidRPr="00B563F7" w:rsidRDefault="009746E4" w:rsidP="00CF10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F7">
        <w:rPr>
          <w:rFonts w:asciiTheme="minorHAnsi" w:hAnsiTheme="minorHAnsi" w:cstheme="minorHAnsi"/>
          <w:sz w:val="22"/>
          <w:szCs w:val="22"/>
        </w:rPr>
        <w:t>Wellbeing check with the reps joining the meeting.</w:t>
      </w:r>
    </w:p>
    <w:p w14:paraId="4338DF7E" w14:textId="13342562" w:rsidR="009746E4" w:rsidRDefault="009746E4" w:rsidP="00CF10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F7">
        <w:rPr>
          <w:rFonts w:asciiTheme="minorHAnsi" w:hAnsiTheme="minorHAnsi" w:cstheme="minorHAnsi"/>
          <w:sz w:val="22"/>
          <w:szCs w:val="22"/>
        </w:rPr>
        <w:t>Quality of the online content: the forms of e-learning in use, any IT issues etc.</w:t>
      </w:r>
    </w:p>
    <w:p w14:paraId="528AE815" w14:textId="722EE2A9" w:rsidR="00B563F7" w:rsidRDefault="00B563F7" w:rsidP="00CF10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Ease of use of the technolog</w:t>
      </w:r>
      <w:r w:rsidR="00192207">
        <w:rPr>
          <w:rFonts w:asciiTheme="minorHAnsi" w:hAnsiTheme="minorHAnsi" w:cstheme="minorHAnsi"/>
          <w:sz w:val="22"/>
          <w:szCs w:val="22"/>
        </w:rPr>
        <w:t>ies being used in delivery</w:t>
      </w:r>
    </w:p>
    <w:p w14:paraId="0BBA5001" w14:textId="5B4062B3" w:rsidR="00855DDF" w:rsidRDefault="00855DDF" w:rsidP="00CF10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concerns from disabled students about accessibility</w:t>
      </w:r>
    </w:p>
    <w:p w14:paraId="545F5EB3" w14:textId="79074AA6" w:rsidR="00B563F7" w:rsidRPr="00B563F7" w:rsidRDefault="00B563F7" w:rsidP="00CF10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of group work and group discussions</w:t>
      </w:r>
    </w:p>
    <w:p w14:paraId="77E2C487" w14:textId="77777777" w:rsidR="009746E4" w:rsidRPr="00B563F7" w:rsidRDefault="009746E4" w:rsidP="00CF10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F7">
        <w:rPr>
          <w:rFonts w:asciiTheme="minorHAnsi" w:hAnsiTheme="minorHAnsi" w:cstheme="minorHAnsi"/>
          <w:sz w:val="22"/>
          <w:szCs w:val="22"/>
        </w:rPr>
        <w:t>Experience of online assessments</w:t>
      </w:r>
    </w:p>
    <w:p w14:paraId="519A747D" w14:textId="77777777" w:rsidR="009746E4" w:rsidRPr="00B563F7" w:rsidRDefault="009746E4" w:rsidP="00CF10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F7">
        <w:rPr>
          <w:rFonts w:asciiTheme="minorHAnsi" w:hAnsiTheme="minorHAnsi" w:cstheme="minorHAnsi"/>
          <w:sz w:val="22"/>
          <w:szCs w:val="22"/>
        </w:rPr>
        <w:t>Access to library resources and any course-specific software</w:t>
      </w:r>
    </w:p>
    <w:p w14:paraId="2D73CC95" w14:textId="3100F83F" w:rsidR="009746E4" w:rsidRPr="00B563F7" w:rsidRDefault="00BD3BEA" w:rsidP="00CF10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746E4" w:rsidRPr="00B563F7">
        <w:rPr>
          <w:rFonts w:asciiTheme="minorHAnsi" w:hAnsiTheme="minorHAnsi" w:cstheme="minorHAnsi"/>
          <w:sz w:val="22"/>
          <w:szCs w:val="22"/>
        </w:rPr>
        <w:t>dvising / pastoral support arrangements</w:t>
      </w:r>
    </w:p>
    <w:p w14:paraId="4E7C3C8E" w14:textId="77777777" w:rsidR="009746E4" w:rsidRPr="00B563F7" w:rsidRDefault="009746E4" w:rsidP="00CF10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F7">
        <w:rPr>
          <w:rFonts w:asciiTheme="minorHAnsi" w:hAnsiTheme="minorHAnsi" w:cstheme="minorHAnsi"/>
          <w:sz w:val="22"/>
          <w:szCs w:val="22"/>
        </w:rPr>
        <w:t>Support from academic supervisors on projects / dissertations</w:t>
      </w:r>
    </w:p>
    <w:p w14:paraId="0F2BF7EB" w14:textId="65119699" w:rsidR="009746E4" w:rsidRDefault="009746E4" w:rsidP="00CF10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F7">
        <w:rPr>
          <w:rFonts w:asciiTheme="minorHAnsi" w:hAnsiTheme="minorHAnsi" w:cstheme="minorHAnsi"/>
          <w:sz w:val="22"/>
          <w:szCs w:val="22"/>
        </w:rPr>
        <w:t>Consideration of potential changes to content, modules and course delivery methods for the next academic year</w:t>
      </w:r>
    </w:p>
    <w:p w14:paraId="6ECB4AAA" w14:textId="77777777" w:rsidR="00CE0F2E" w:rsidRPr="00B563F7" w:rsidRDefault="00CE0F2E" w:rsidP="00CF105B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4D2AE2A" w14:textId="6983730A" w:rsidR="00C772E9" w:rsidRDefault="009746E4" w:rsidP="00CF105B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63F7">
        <w:rPr>
          <w:rFonts w:asciiTheme="minorHAnsi" w:hAnsiTheme="minorHAnsi" w:cstheme="minorHAnsi"/>
          <w:sz w:val="22"/>
          <w:szCs w:val="22"/>
          <w:u w:val="single"/>
        </w:rPr>
        <w:t>Feedback and reporting</w:t>
      </w:r>
      <w:r w:rsidR="00C772E9" w:rsidRPr="00B563F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14:paraId="72E1269D" w14:textId="77777777" w:rsidR="00CF105B" w:rsidRPr="00B563F7" w:rsidRDefault="00CF105B" w:rsidP="00CF105B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62A7E94" w14:textId="77777777" w:rsidR="00B563F7" w:rsidRPr="00B563F7" w:rsidRDefault="00B563F7" w:rsidP="00CF105B">
      <w:pPr>
        <w:pStyle w:val="ListParagraph"/>
        <w:numPr>
          <w:ilvl w:val="0"/>
          <w:numId w:val="4"/>
        </w:numPr>
        <w:spacing w:after="40"/>
        <w:jc w:val="both"/>
        <w:rPr>
          <w:rFonts w:cstheme="minorHAnsi"/>
        </w:rPr>
      </w:pPr>
      <w:r w:rsidRPr="00B563F7">
        <w:rPr>
          <w:rFonts w:cstheme="minorHAnsi"/>
        </w:rPr>
        <w:t>It is recommended that the standard process for feedback and reporting is maintained, i.e.:</w:t>
      </w:r>
    </w:p>
    <w:p w14:paraId="41705926" w14:textId="4D9848B7" w:rsidR="00EE3CA1" w:rsidRPr="00B563F7" w:rsidRDefault="00B563F7" w:rsidP="00CF105B">
      <w:pPr>
        <w:pStyle w:val="ListParagraph"/>
        <w:numPr>
          <w:ilvl w:val="1"/>
          <w:numId w:val="4"/>
        </w:numPr>
        <w:spacing w:after="40"/>
        <w:jc w:val="both"/>
        <w:rPr>
          <w:rFonts w:cstheme="minorHAnsi"/>
        </w:rPr>
      </w:pPr>
      <w:r w:rsidRPr="00B563F7">
        <w:rPr>
          <w:rFonts w:cstheme="minorHAnsi"/>
        </w:rPr>
        <w:t>Minutes and actions to be recorded and sent to all SSLC members</w:t>
      </w:r>
    </w:p>
    <w:p w14:paraId="2617D585" w14:textId="03AEDF07" w:rsidR="00B563F7" w:rsidRPr="00B563F7" w:rsidRDefault="00561E0E" w:rsidP="00CF105B">
      <w:pPr>
        <w:pStyle w:val="ListParagraph"/>
        <w:numPr>
          <w:ilvl w:val="1"/>
          <w:numId w:val="4"/>
        </w:numPr>
        <w:spacing w:after="40"/>
        <w:jc w:val="both"/>
        <w:rPr>
          <w:rFonts w:cstheme="minorHAnsi"/>
        </w:rPr>
      </w:pPr>
      <w:r>
        <w:rPr>
          <w:rFonts w:cstheme="minorHAnsi"/>
        </w:rPr>
        <w:t>A summary to be made availa</w:t>
      </w:r>
      <w:r w:rsidR="00D27C97">
        <w:rPr>
          <w:rFonts w:cstheme="minorHAnsi"/>
        </w:rPr>
        <w:t>bl</w:t>
      </w:r>
      <w:r>
        <w:rPr>
          <w:rFonts w:cstheme="minorHAnsi"/>
        </w:rPr>
        <w:t>e to all students on the course(s)</w:t>
      </w:r>
    </w:p>
    <w:p w14:paraId="43757788" w14:textId="199C5027" w:rsidR="00B563F7" w:rsidRPr="00B563F7" w:rsidRDefault="00B563F7" w:rsidP="00CF105B">
      <w:pPr>
        <w:pStyle w:val="ListParagraph"/>
        <w:numPr>
          <w:ilvl w:val="1"/>
          <w:numId w:val="4"/>
        </w:numPr>
        <w:spacing w:after="40"/>
        <w:jc w:val="both"/>
        <w:rPr>
          <w:rFonts w:cstheme="minorHAnsi"/>
        </w:rPr>
      </w:pPr>
      <w:r w:rsidRPr="00B563F7">
        <w:rPr>
          <w:rFonts w:cstheme="minorHAnsi"/>
        </w:rPr>
        <w:t>Feedback on progress with the actions is collected and reported back at the next SSLC</w:t>
      </w:r>
    </w:p>
    <w:p w14:paraId="7FD0FB57" w14:textId="36B475BC" w:rsidR="00D27C97" w:rsidRDefault="00D27C97" w:rsidP="00CF105B">
      <w:pPr>
        <w:pStyle w:val="ListParagraph"/>
        <w:numPr>
          <w:ilvl w:val="1"/>
          <w:numId w:val="4"/>
        </w:numPr>
        <w:spacing w:after="40"/>
        <w:jc w:val="both"/>
        <w:rPr>
          <w:rFonts w:cstheme="minorHAnsi"/>
        </w:rPr>
      </w:pPr>
      <w:r>
        <w:rPr>
          <w:rFonts w:cstheme="minorHAnsi"/>
        </w:rPr>
        <w:t>APVCEs and FSEMs to be made aware of any significant issues</w:t>
      </w:r>
    </w:p>
    <w:p w14:paraId="44157BAC" w14:textId="77777777" w:rsidR="00D27C97" w:rsidRPr="00D27C97" w:rsidRDefault="00D27C97" w:rsidP="00CF105B">
      <w:pPr>
        <w:spacing w:after="40"/>
        <w:ind w:left="1080"/>
        <w:jc w:val="both"/>
        <w:rPr>
          <w:rFonts w:cstheme="minorHAnsi"/>
        </w:rPr>
      </w:pPr>
    </w:p>
    <w:p w14:paraId="4DD1906F" w14:textId="3EFB591C" w:rsidR="00B563F7" w:rsidRPr="00B563F7" w:rsidRDefault="00B563F7" w:rsidP="00CF105B">
      <w:pPr>
        <w:pStyle w:val="ListParagraph"/>
        <w:numPr>
          <w:ilvl w:val="0"/>
          <w:numId w:val="4"/>
        </w:numPr>
        <w:spacing w:after="40"/>
        <w:jc w:val="both"/>
        <w:rPr>
          <w:rFonts w:cstheme="minorHAnsi"/>
        </w:rPr>
      </w:pPr>
      <w:r w:rsidRPr="00B563F7">
        <w:rPr>
          <w:rFonts w:cstheme="minorHAnsi"/>
        </w:rPr>
        <w:t>It is additionally recommended that remote SSLCs provide a means of sharing with Faculty Deans:</w:t>
      </w:r>
    </w:p>
    <w:p w14:paraId="4B966C40" w14:textId="2D3D20B7" w:rsidR="00B563F7" w:rsidRPr="00B563F7" w:rsidRDefault="00B563F7" w:rsidP="00CF105B">
      <w:pPr>
        <w:pStyle w:val="ListParagraph"/>
        <w:numPr>
          <w:ilvl w:val="1"/>
          <w:numId w:val="4"/>
        </w:numPr>
        <w:spacing w:after="40"/>
        <w:jc w:val="both"/>
        <w:rPr>
          <w:rFonts w:cstheme="minorHAnsi"/>
        </w:rPr>
      </w:pPr>
      <w:r w:rsidRPr="00B563F7">
        <w:rPr>
          <w:rFonts w:cstheme="minorHAnsi"/>
        </w:rPr>
        <w:t xml:space="preserve">What went well teaching, assessing and supporting students online, what did not, and how </w:t>
      </w:r>
      <w:r w:rsidR="003F3A41">
        <w:rPr>
          <w:rFonts w:cstheme="minorHAnsi"/>
        </w:rPr>
        <w:t>we</w:t>
      </w:r>
      <w:r w:rsidRPr="00B563F7">
        <w:rPr>
          <w:rFonts w:cstheme="minorHAnsi"/>
        </w:rPr>
        <w:t xml:space="preserve"> can improve in this area</w:t>
      </w:r>
    </w:p>
    <w:p w14:paraId="13207685" w14:textId="675B1F93" w:rsidR="00B563F7" w:rsidRPr="00B563F7" w:rsidRDefault="00B563F7" w:rsidP="00CF105B">
      <w:pPr>
        <w:pStyle w:val="ListParagraph"/>
        <w:numPr>
          <w:ilvl w:val="1"/>
          <w:numId w:val="4"/>
        </w:numPr>
        <w:spacing w:after="40"/>
        <w:jc w:val="both"/>
        <w:rPr>
          <w:rFonts w:cstheme="minorHAnsi"/>
        </w:rPr>
      </w:pPr>
      <w:r w:rsidRPr="00B563F7">
        <w:rPr>
          <w:rFonts w:cstheme="minorHAnsi"/>
        </w:rPr>
        <w:t>How can staff and students be supported to develop blended education skills further</w:t>
      </w:r>
    </w:p>
    <w:p w14:paraId="2DD72AE9" w14:textId="316F0860" w:rsidR="00B563F7" w:rsidRPr="00B563F7" w:rsidRDefault="00B563F7" w:rsidP="00CF105B">
      <w:pPr>
        <w:pStyle w:val="ListParagraph"/>
        <w:numPr>
          <w:ilvl w:val="1"/>
          <w:numId w:val="4"/>
        </w:numPr>
        <w:spacing w:after="40"/>
        <w:jc w:val="both"/>
        <w:rPr>
          <w:rFonts w:cstheme="minorHAnsi"/>
        </w:rPr>
      </w:pPr>
      <w:r w:rsidRPr="00B563F7">
        <w:rPr>
          <w:rFonts w:cstheme="minorHAnsi"/>
        </w:rPr>
        <w:t xml:space="preserve">What technology </w:t>
      </w:r>
      <w:r w:rsidR="00B414CE">
        <w:rPr>
          <w:rFonts w:cstheme="minorHAnsi"/>
        </w:rPr>
        <w:t>is working well and what isn’t</w:t>
      </w:r>
    </w:p>
    <w:p w14:paraId="74EB556E" w14:textId="22806BD2" w:rsidR="003F3A41" w:rsidRDefault="00B563F7" w:rsidP="00CF105B">
      <w:pPr>
        <w:pStyle w:val="ListParagraph"/>
        <w:numPr>
          <w:ilvl w:val="1"/>
          <w:numId w:val="4"/>
        </w:numPr>
        <w:spacing w:after="40"/>
        <w:jc w:val="both"/>
        <w:rPr>
          <w:rFonts w:cstheme="minorHAnsi"/>
        </w:rPr>
      </w:pPr>
      <w:r w:rsidRPr="00B563F7">
        <w:rPr>
          <w:rFonts w:cstheme="minorHAnsi"/>
        </w:rPr>
        <w:t>What training staff and students need</w:t>
      </w:r>
    </w:p>
    <w:p w14:paraId="33B528BD" w14:textId="77777777" w:rsidR="00CF105B" w:rsidRPr="00CF105B" w:rsidRDefault="00CF105B" w:rsidP="00CF105B">
      <w:pPr>
        <w:spacing w:after="40"/>
        <w:jc w:val="both"/>
        <w:rPr>
          <w:rFonts w:cstheme="minorHAnsi"/>
        </w:rPr>
      </w:pPr>
    </w:p>
    <w:p w14:paraId="41619242" w14:textId="505196C3" w:rsidR="00B664CA" w:rsidRDefault="00B563F7" w:rsidP="00CF105B">
      <w:pPr>
        <w:pStyle w:val="ListParagraph"/>
        <w:numPr>
          <w:ilvl w:val="0"/>
          <w:numId w:val="4"/>
        </w:numPr>
        <w:spacing w:after="40"/>
        <w:jc w:val="both"/>
        <w:rPr>
          <w:rFonts w:cstheme="minorHAnsi"/>
        </w:rPr>
        <w:sectPr w:rsidR="00B664CA" w:rsidSect="00FE6EF6"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  <w:r w:rsidRPr="00B563F7">
        <w:rPr>
          <w:rFonts w:cstheme="minorHAnsi"/>
        </w:rPr>
        <w:t xml:space="preserve">Deans can then report back to the </w:t>
      </w:r>
      <w:r w:rsidR="00CE0F2E">
        <w:rPr>
          <w:rFonts w:cstheme="minorHAnsi"/>
        </w:rPr>
        <w:t>APVCEs</w:t>
      </w:r>
      <w:r w:rsidRPr="00B563F7">
        <w:rPr>
          <w:rFonts w:cstheme="minorHAnsi"/>
        </w:rPr>
        <w:t xml:space="preserve"> for onward consideration at relevant bodies (e.g. </w:t>
      </w:r>
      <w:r w:rsidR="00CE0F2E">
        <w:rPr>
          <w:rFonts w:cstheme="minorHAnsi"/>
        </w:rPr>
        <w:t>Education Committee and Academic Quality and Standards Committee</w:t>
      </w:r>
      <w:r w:rsidRPr="00B563F7">
        <w:rPr>
          <w:rFonts w:cstheme="minorHAnsi"/>
        </w:rPr>
        <w:t>)</w:t>
      </w:r>
    </w:p>
    <w:p w14:paraId="1EF5DB44" w14:textId="1AA354A7" w:rsidR="00B664CA" w:rsidRDefault="00B664CA" w:rsidP="00B664CA">
      <w:pPr>
        <w:ind w:left="360"/>
        <w:jc w:val="center"/>
        <w:rPr>
          <w:rFonts w:cstheme="minorHAnsi"/>
          <w:b/>
        </w:rPr>
      </w:pPr>
      <w:r w:rsidRPr="00B664CA">
        <w:rPr>
          <w:rFonts w:cstheme="minorHAnsi"/>
          <w:b/>
        </w:rPr>
        <w:lastRenderedPageBreak/>
        <w:t>Suggested pro forma for discussions</w:t>
      </w:r>
    </w:p>
    <w:p w14:paraId="06F35B38" w14:textId="77777777" w:rsidR="002B5463" w:rsidRPr="00B664CA" w:rsidRDefault="002B5463" w:rsidP="00B664CA">
      <w:pPr>
        <w:ind w:left="360"/>
        <w:jc w:val="center"/>
        <w:rPr>
          <w:rFonts w:cstheme="minorHAnsi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97"/>
        <w:gridCol w:w="3397"/>
        <w:gridCol w:w="3397"/>
        <w:gridCol w:w="3397"/>
      </w:tblGrid>
      <w:tr w:rsidR="00B664CA" w:rsidRPr="00B664CA" w14:paraId="23ED5ECD" w14:textId="77777777" w:rsidTr="00B664CA">
        <w:tc>
          <w:tcPr>
            <w:tcW w:w="3397" w:type="dxa"/>
          </w:tcPr>
          <w:p w14:paraId="5CC69151" w14:textId="77777777" w:rsidR="00B664CA" w:rsidRPr="00B664CA" w:rsidRDefault="00B664CA" w:rsidP="00B664C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397" w:type="dxa"/>
          </w:tcPr>
          <w:p w14:paraId="48C1C1DE" w14:textId="10DEE532" w:rsidR="00B664CA" w:rsidRPr="00B664CA" w:rsidRDefault="00B664CA" w:rsidP="00B664CA">
            <w:pPr>
              <w:jc w:val="both"/>
              <w:rPr>
                <w:rFonts w:cstheme="minorHAnsi"/>
                <w:b/>
              </w:rPr>
            </w:pPr>
            <w:r w:rsidRPr="00B664CA">
              <w:rPr>
                <w:rFonts w:cstheme="minorHAnsi"/>
                <w:b/>
              </w:rPr>
              <w:t>What worked well</w:t>
            </w:r>
          </w:p>
        </w:tc>
        <w:tc>
          <w:tcPr>
            <w:tcW w:w="3397" w:type="dxa"/>
          </w:tcPr>
          <w:p w14:paraId="4C373BA3" w14:textId="6AB6831F" w:rsidR="00B664CA" w:rsidRPr="00B664CA" w:rsidRDefault="00B664CA" w:rsidP="00B664CA">
            <w:pPr>
              <w:jc w:val="both"/>
              <w:rPr>
                <w:rFonts w:cstheme="minorHAnsi"/>
                <w:b/>
              </w:rPr>
            </w:pPr>
            <w:r w:rsidRPr="00B664CA">
              <w:rPr>
                <w:rFonts w:cstheme="minorHAnsi"/>
                <w:b/>
              </w:rPr>
              <w:t>What worked less well</w:t>
            </w:r>
          </w:p>
        </w:tc>
        <w:tc>
          <w:tcPr>
            <w:tcW w:w="3397" w:type="dxa"/>
          </w:tcPr>
          <w:p w14:paraId="7DF7BBD2" w14:textId="7DCE8D8B" w:rsidR="00B664CA" w:rsidRPr="00B664CA" w:rsidRDefault="00B664CA" w:rsidP="00B664CA">
            <w:pPr>
              <w:jc w:val="both"/>
              <w:rPr>
                <w:rFonts w:cstheme="minorHAnsi"/>
                <w:b/>
              </w:rPr>
            </w:pPr>
            <w:r w:rsidRPr="00B664CA">
              <w:rPr>
                <w:rFonts w:cstheme="minorHAnsi"/>
                <w:b/>
              </w:rPr>
              <w:t>Other suggestions</w:t>
            </w:r>
          </w:p>
        </w:tc>
      </w:tr>
      <w:tr w:rsidR="00B664CA" w14:paraId="0613D2E1" w14:textId="77777777" w:rsidTr="00B664CA">
        <w:tc>
          <w:tcPr>
            <w:tcW w:w="3397" w:type="dxa"/>
          </w:tcPr>
          <w:p w14:paraId="645AAD85" w14:textId="699F61D4" w:rsidR="00B664CA" w:rsidRPr="00B664CA" w:rsidRDefault="00B664CA" w:rsidP="00B664CA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4CA">
              <w:rPr>
                <w:rFonts w:asciiTheme="minorHAnsi" w:hAnsiTheme="minorHAnsi" w:cstheme="minorHAnsi"/>
                <w:b/>
                <w:sz w:val="22"/>
                <w:szCs w:val="22"/>
              </w:rPr>
              <w:t>Quality of the online content: the forms of e-learning in use, any IT issues etc.</w:t>
            </w:r>
          </w:p>
        </w:tc>
        <w:tc>
          <w:tcPr>
            <w:tcW w:w="3397" w:type="dxa"/>
          </w:tcPr>
          <w:p w14:paraId="05BFB95C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2736C36F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7AF437F6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</w:tr>
      <w:tr w:rsidR="00B664CA" w14:paraId="5E4A8684" w14:textId="77777777" w:rsidTr="00B664CA">
        <w:tc>
          <w:tcPr>
            <w:tcW w:w="3397" w:type="dxa"/>
          </w:tcPr>
          <w:p w14:paraId="418DB49D" w14:textId="1A742DCB" w:rsidR="00B664CA" w:rsidRPr="00B664CA" w:rsidRDefault="00B664CA" w:rsidP="00B664CA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4CA">
              <w:rPr>
                <w:rFonts w:asciiTheme="minorHAnsi" w:hAnsiTheme="minorHAnsi" w:cstheme="minorHAnsi"/>
                <w:b/>
                <w:sz w:val="22"/>
                <w:szCs w:val="22"/>
              </w:rPr>
              <w:t>Ease of use of the technologies</w:t>
            </w:r>
          </w:p>
        </w:tc>
        <w:tc>
          <w:tcPr>
            <w:tcW w:w="3397" w:type="dxa"/>
          </w:tcPr>
          <w:p w14:paraId="7456D1AF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41B720EF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29773C21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</w:tr>
      <w:tr w:rsidR="00B664CA" w14:paraId="7E48A8A9" w14:textId="77777777" w:rsidTr="00B664CA">
        <w:tc>
          <w:tcPr>
            <w:tcW w:w="3397" w:type="dxa"/>
          </w:tcPr>
          <w:p w14:paraId="6C176F8F" w14:textId="2B81EACE" w:rsidR="00B664CA" w:rsidRPr="00B664CA" w:rsidRDefault="00B664CA" w:rsidP="00B664CA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4CA">
              <w:rPr>
                <w:rFonts w:asciiTheme="minorHAnsi" w:hAnsiTheme="minorHAnsi" w:cstheme="minorHAnsi"/>
                <w:b/>
                <w:sz w:val="22"/>
                <w:szCs w:val="22"/>
              </w:rPr>
              <w:t>Experience of group work and group discussions</w:t>
            </w:r>
          </w:p>
        </w:tc>
        <w:tc>
          <w:tcPr>
            <w:tcW w:w="3397" w:type="dxa"/>
          </w:tcPr>
          <w:p w14:paraId="5A1FB995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0E1F740E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67B3F847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</w:tr>
      <w:tr w:rsidR="00B664CA" w14:paraId="4003D638" w14:textId="77777777" w:rsidTr="00B664CA">
        <w:tc>
          <w:tcPr>
            <w:tcW w:w="3397" w:type="dxa"/>
          </w:tcPr>
          <w:p w14:paraId="447B58AD" w14:textId="5A29CDDD" w:rsidR="00B664CA" w:rsidRPr="00B664CA" w:rsidRDefault="00B664CA" w:rsidP="00B664CA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4CA">
              <w:rPr>
                <w:rFonts w:asciiTheme="minorHAnsi" w:hAnsiTheme="minorHAnsi" w:cstheme="minorHAnsi"/>
                <w:b/>
                <w:sz w:val="22"/>
                <w:szCs w:val="22"/>
              </w:rPr>
              <w:t>Access to library resources and any course-specific software</w:t>
            </w:r>
          </w:p>
        </w:tc>
        <w:tc>
          <w:tcPr>
            <w:tcW w:w="3397" w:type="dxa"/>
          </w:tcPr>
          <w:p w14:paraId="4B05B34C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34BC4B45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36A055AE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</w:tr>
      <w:tr w:rsidR="00B664CA" w14:paraId="5F28A5F0" w14:textId="77777777" w:rsidTr="00B664CA">
        <w:tc>
          <w:tcPr>
            <w:tcW w:w="3397" w:type="dxa"/>
          </w:tcPr>
          <w:p w14:paraId="46C0737C" w14:textId="17391B41" w:rsidR="00B664CA" w:rsidRPr="00B664CA" w:rsidRDefault="00B664CA" w:rsidP="00B664CA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4CA">
              <w:rPr>
                <w:rFonts w:asciiTheme="minorHAnsi" w:hAnsiTheme="minorHAnsi" w:cstheme="minorHAnsi"/>
                <w:b/>
                <w:sz w:val="22"/>
                <w:szCs w:val="22"/>
              </w:rPr>
              <w:t>Experience of online assessments</w:t>
            </w:r>
          </w:p>
        </w:tc>
        <w:tc>
          <w:tcPr>
            <w:tcW w:w="3397" w:type="dxa"/>
          </w:tcPr>
          <w:p w14:paraId="601B4385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10FA3F9A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6B66BB34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</w:tr>
      <w:tr w:rsidR="00B664CA" w14:paraId="1BD835E3" w14:textId="77777777" w:rsidTr="00B664CA">
        <w:tc>
          <w:tcPr>
            <w:tcW w:w="3397" w:type="dxa"/>
          </w:tcPr>
          <w:p w14:paraId="6CD73E20" w14:textId="080E1DD1" w:rsidR="00B664CA" w:rsidRPr="00B664CA" w:rsidRDefault="00B664CA" w:rsidP="00B664CA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4CA">
              <w:rPr>
                <w:rFonts w:asciiTheme="minorHAnsi" w:hAnsiTheme="minorHAnsi" w:cstheme="minorHAnsi"/>
                <w:b/>
                <w:sz w:val="22"/>
                <w:szCs w:val="22"/>
              </w:rPr>
              <w:t>Advising / pastoral support arrangements</w:t>
            </w:r>
          </w:p>
        </w:tc>
        <w:tc>
          <w:tcPr>
            <w:tcW w:w="3397" w:type="dxa"/>
          </w:tcPr>
          <w:p w14:paraId="187750DB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3465A585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3A8BAF7E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</w:tr>
      <w:tr w:rsidR="00B664CA" w14:paraId="314FD1B1" w14:textId="77777777" w:rsidTr="00B664CA">
        <w:tc>
          <w:tcPr>
            <w:tcW w:w="3397" w:type="dxa"/>
          </w:tcPr>
          <w:p w14:paraId="31222AAB" w14:textId="499C32D8" w:rsidR="00B664CA" w:rsidRPr="00B664CA" w:rsidRDefault="00B664CA" w:rsidP="00B664CA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4CA">
              <w:rPr>
                <w:rFonts w:asciiTheme="minorHAnsi" w:hAnsiTheme="minorHAnsi" w:cstheme="minorHAnsi"/>
                <w:b/>
                <w:sz w:val="22"/>
                <w:szCs w:val="22"/>
              </w:rPr>
              <w:t>Support from academic supervisors on projects / dissertations</w:t>
            </w:r>
          </w:p>
        </w:tc>
        <w:tc>
          <w:tcPr>
            <w:tcW w:w="3397" w:type="dxa"/>
          </w:tcPr>
          <w:p w14:paraId="06CBAE07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4EDFF618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  <w:tc>
          <w:tcPr>
            <w:tcW w:w="3397" w:type="dxa"/>
          </w:tcPr>
          <w:p w14:paraId="00F0CF5D" w14:textId="77777777" w:rsidR="00B664CA" w:rsidRDefault="00B664CA" w:rsidP="00B664CA">
            <w:pPr>
              <w:jc w:val="both"/>
              <w:rPr>
                <w:rFonts w:cstheme="minorHAnsi"/>
              </w:rPr>
            </w:pPr>
          </w:p>
        </w:tc>
      </w:tr>
      <w:tr w:rsidR="00B664CA" w14:paraId="5DB3B4F5" w14:textId="77777777" w:rsidTr="0072373C">
        <w:tc>
          <w:tcPr>
            <w:tcW w:w="10191" w:type="dxa"/>
            <w:gridSpan w:val="3"/>
          </w:tcPr>
          <w:p w14:paraId="07466EEA" w14:textId="2ECD6E05" w:rsidR="00B664CA" w:rsidRDefault="00B664CA" w:rsidP="00B664CA">
            <w:pPr>
              <w:jc w:val="both"/>
              <w:rPr>
                <w:rFonts w:cstheme="minorHAnsi"/>
              </w:rPr>
            </w:pPr>
            <w:r w:rsidRPr="00B664CA">
              <w:rPr>
                <w:rFonts w:cstheme="minorHAnsi"/>
                <w:b/>
              </w:rPr>
              <w:t>Consideration of potential changes to content, modules and course delivery methods for the next academic year</w:t>
            </w:r>
          </w:p>
        </w:tc>
        <w:tc>
          <w:tcPr>
            <w:tcW w:w="3397" w:type="dxa"/>
          </w:tcPr>
          <w:p w14:paraId="457968BB" w14:textId="3896ABB7" w:rsidR="00B664CA" w:rsidRDefault="00B664CA" w:rsidP="00B664CA">
            <w:pPr>
              <w:jc w:val="both"/>
              <w:rPr>
                <w:rFonts w:cstheme="minorHAnsi"/>
              </w:rPr>
            </w:pPr>
          </w:p>
        </w:tc>
      </w:tr>
    </w:tbl>
    <w:p w14:paraId="0595E630" w14:textId="77777777" w:rsidR="00B664CA" w:rsidRDefault="00B664CA" w:rsidP="00B664CA">
      <w:pPr>
        <w:ind w:left="360"/>
        <w:jc w:val="both"/>
        <w:rPr>
          <w:rFonts w:cstheme="minorHAnsi"/>
        </w:rPr>
      </w:pPr>
    </w:p>
    <w:p w14:paraId="460A11F5" w14:textId="77777777" w:rsidR="001C274A" w:rsidRDefault="001C274A" w:rsidP="00B664CA">
      <w:pPr>
        <w:ind w:left="360"/>
        <w:jc w:val="both"/>
        <w:rPr>
          <w:rFonts w:cstheme="minorHAnsi"/>
        </w:rPr>
      </w:pPr>
    </w:p>
    <w:p w14:paraId="0B5FBA40" w14:textId="77777777" w:rsidR="001C274A" w:rsidRDefault="001C274A" w:rsidP="00B664CA">
      <w:pPr>
        <w:ind w:left="360"/>
        <w:jc w:val="both"/>
        <w:rPr>
          <w:rFonts w:cstheme="minorHAnsi"/>
        </w:rPr>
      </w:pPr>
    </w:p>
    <w:p w14:paraId="7278DF58" w14:textId="254E5E1D" w:rsidR="001C274A" w:rsidRPr="00B664CA" w:rsidRDefault="001C274A" w:rsidP="00B664CA">
      <w:pPr>
        <w:ind w:left="360"/>
        <w:jc w:val="both"/>
        <w:rPr>
          <w:rFonts w:cstheme="minorHAnsi"/>
        </w:rPr>
      </w:pPr>
    </w:p>
    <w:sectPr w:rsidR="001C274A" w:rsidRPr="00B664CA" w:rsidSect="00B664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4F44"/>
    <w:multiLevelType w:val="hybridMultilevel"/>
    <w:tmpl w:val="44E0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46B91"/>
    <w:multiLevelType w:val="hybridMultilevel"/>
    <w:tmpl w:val="E3A2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36314"/>
    <w:multiLevelType w:val="multilevel"/>
    <w:tmpl w:val="6F42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42FEE"/>
    <w:multiLevelType w:val="hybridMultilevel"/>
    <w:tmpl w:val="0E2C1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E9"/>
    <w:rsid w:val="000C284C"/>
    <w:rsid w:val="00192207"/>
    <w:rsid w:val="001A7CF2"/>
    <w:rsid w:val="001C274A"/>
    <w:rsid w:val="001C3F1F"/>
    <w:rsid w:val="002B5463"/>
    <w:rsid w:val="00386324"/>
    <w:rsid w:val="003F3A41"/>
    <w:rsid w:val="004F6DA8"/>
    <w:rsid w:val="00561E0E"/>
    <w:rsid w:val="0062639B"/>
    <w:rsid w:val="006859DF"/>
    <w:rsid w:val="006F21F1"/>
    <w:rsid w:val="007C70BA"/>
    <w:rsid w:val="00855DDF"/>
    <w:rsid w:val="008D0C2F"/>
    <w:rsid w:val="009746E4"/>
    <w:rsid w:val="00AA40A9"/>
    <w:rsid w:val="00B414CE"/>
    <w:rsid w:val="00B563F7"/>
    <w:rsid w:val="00B664CA"/>
    <w:rsid w:val="00BB3248"/>
    <w:rsid w:val="00BD3BEA"/>
    <w:rsid w:val="00C772E9"/>
    <w:rsid w:val="00C9146E"/>
    <w:rsid w:val="00CE0F2E"/>
    <w:rsid w:val="00CF105B"/>
    <w:rsid w:val="00D13AAC"/>
    <w:rsid w:val="00D27C97"/>
    <w:rsid w:val="00EE3CA1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0EEB3"/>
  <w15:docId w15:val="{7E2CF73A-153F-3041-B0A1-91EF13D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6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C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6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118AE6EB7543A7EC38CAF65D6D8B" ma:contentTypeVersion="2" ma:contentTypeDescription="Create a new document." ma:contentTypeScope="" ma:versionID="c30e98890d64754f3f64c41bf25e3055">
  <xsd:schema xmlns:xsd="http://www.w3.org/2001/XMLSchema" xmlns:xs="http://www.w3.org/2001/XMLSchema" xmlns:p="http://schemas.microsoft.com/office/2006/metadata/properties" xmlns:ns3="2c0728d4-b628-46ac-beb8-1847ad0e6c02" targetNamespace="http://schemas.microsoft.com/office/2006/metadata/properties" ma:root="true" ma:fieldsID="81d7659473ff5c77a7dcb85e26b881e9" ns3:_="">
    <xsd:import namespace="2c0728d4-b628-46ac-beb8-1847ad0e6c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728d4-b628-46ac-beb8-1847ad0e6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1ADDB-97A2-43E7-A2CA-259E7AE20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728d4-b628-46ac-beb8-1847ad0e6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B93B6-4F74-486D-A859-0A2507BD9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5991B-931E-4023-BC52-872C3EA03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Cashman</dc:creator>
  <cp:keywords/>
  <dc:description/>
  <cp:lastModifiedBy>Brown, Gavin [gmbrown]</cp:lastModifiedBy>
  <cp:revision>3</cp:revision>
  <dcterms:created xsi:type="dcterms:W3CDTF">2020-03-26T07:49:00Z</dcterms:created>
  <dcterms:modified xsi:type="dcterms:W3CDTF">2020-03-26T07:49:00Z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0x010100196A118AE6EB7543A7EC38CAF65D6D8B</vt:lpwstr>
  </property>
</Properties>
</file>