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96" w:rsidRPr="00B53896" w:rsidRDefault="003D2AFE" w:rsidP="00B53896">
      <w:pPr>
        <w:pStyle w:val="Heading1"/>
        <w:rPr>
          <w:rFonts w:cs="Poppins"/>
        </w:rPr>
      </w:pPr>
      <w:r>
        <w:t>Equality, Diversity and Inclusion Action Plan</w:t>
      </w:r>
    </w:p>
    <w:p w:rsidR="00B53896" w:rsidRPr="00B53896" w:rsidRDefault="00B53896" w:rsidP="00B53896">
      <w:pPr>
        <w:rPr>
          <w:rFonts w:cs="Poppins"/>
        </w:rPr>
      </w:pPr>
      <w:r w:rsidRPr="00B53896">
        <w:rPr>
          <w:rFonts w:cs="Poppins"/>
          <w:b/>
        </w:rPr>
        <w:t xml:space="preserve">Author(s): </w:t>
      </w:r>
      <w:r w:rsidR="0093081C">
        <w:rPr>
          <w:rFonts w:cs="Poppins"/>
          <w:b/>
        </w:rPr>
        <w:t>Laura Blundell</w:t>
      </w:r>
    </w:p>
    <w:p w:rsidR="00B53896" w:rsidRPr="00B53896" w:rsidRDefault="00B53896" w:rsidP="00B53896">
      <w:pPr>
        <w:pStyle w:val="Heading2"/>
        <w:rPr>
          <w:rFonts w:cs="Poppins"/>
        </w:rPr>
      </w:pPr>
      <w:r w:rsidRPr="00B53896">
        <w:rPr>
          <w:rFonts w:cs="Poppins"/>
        </w:rPr>
        <w:t>Description</w:t>
      </w:r>
      <w:r w:rsidR="00E76C05">
        <w:rPr>
          <w:rFonts w:cs="Poppins"/>
        </w:rPr>
        <w:t xml:space="preserve"> and Instructions for Use</w:t>
      </w:r>
      <w:r w:rsidRPr="00B53896">
        <w:rPr>
          <w:rFonts w:cs="Poppins"/>
        </w:rPr>
        <w:t xml:space="preserve">: </w:t>
      </w:r>
    </w:p>
    <w:p w:rsidR="00F1028F" w:rsidRDefault="00B53896" w:rsidP="00B53896">
      <w:pPr>
        <w:rPr>
          <w:rFonts w:cs="Poppins"/>
        </w:rPr>
      </w:pPr>
      <w:r>
        <w:rPr>
          <w:rFonts w:cs="Poppins"/>
        </w:rPr>
        <w:t xml:space="preserve">This </w:t>
      </w:r>
      <w:r w:rsidR="00E76C05">
        <w:rPr>
          <w:rFonts w:cs="Poppins"/>
        </w:rPr>
        <w:t>template can be used either by an individual or as a department to plan equality, diversity and inclusion improvements to a programme or module.</w:t>
      </w:r>
      <w:r w:rsidR="00F1028F">
        <w:rPr>
          <w:rFonts w:cs="Poppins"/>
        </w:rPr>
        <w:t xml:space="preserve"> You may wish to use this action plan after completing </w:t>
      </w:r>
      <w:hyperlink r:id="rId9" w:history="1">
        <w:r w:rsidR="00F1028F" w:rsidRPr="00F1028F">
          <w:rPr>
            <w:rStyle w:val="Hyperlink"/>
            <w:rFonts w:cs="Poppins"/>
          </w:rPr>
          <w:t>The Inclusive Curriculum Tool</w:t>
        </w:r>
      </w:hyperlink>
      <w:r w:rsidR="00F1028F">
        <w:rPr>
          <w:rFonts w:cs="Poppins"/>
        </w:rPr>
        <w:t xml:space="preserve"> as you should have identified some areas for improvement within your curriculum.</w:t>
      </w:r>
    </w:p>
    <w:p w:rsidR="00B53896" w:rsidRPr="00B53896" w:rsidRDefault="00E76C05" w:rsidP="00B53896">
      <w:pPr>
        <w:rPr>
          <w:rFonts w:cs="Poppins"/>
        </w:rPr>
      </w:pPr>
      <w:r>
        <w:rPr>
          <w:rFonts w:cs="Poppins"/>
        </w:rPr>
        <w:t xml:space="preserve">It’s important to break down the overall objective into smaller tasks, and you may wish to assign these to the relevant people. In the </w:t>
      </w:r>
      <w:proofErr w:type="gramStart"/>
      <w:r>
        <w:rPr>
          <w:rFonts w:cs="Poppins"/>
        </w:rPr>
        <w:t>re</w:t>
      </w:r>
      <w:r w:rsidR="00E53C55">
        <w:rPr>
          <w:rFonts w:cs="Poppins"/>
        </w:rPr>
        <w:t>sources</w:t>
      </w:r>
      <w:proofErr w:type="gramEnd"/>
      <w:r w:rsidR="00E53C55">
        <w:rPr>
          <w:rFonts w:cs="Poppins"/>
        </w:rPr>
        <w:t xml:space="preserve"> column consider any equipment, additional funding, department buy in and further support from other departments within the University. Set a time frame for when you want to achieve the objective, and finally think about how you will measure whether it has been successful</w:t>
      </w:r>
      <w:r w:rsidR="00F1028F">
        <w:rPr>
          <w:rFonts w:cs="Poppins"/>
        </w:rPr>
        <w:t>.</w:t>
      </w:r>
    </w:p>
    <w:p w:rsidR="00B53896" w:rsidRDefault="00B53896" w:rsidP="00C34F71">
      <w:pPr>
        <w:spacing w:after="2400"/>
        <w:rPr>
          <w:rFonts w:cs="Poppins"/>
        </w:rPr>
      </w:pPr>
      <w:r w:rsidRPr="00B5389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bookmarkStart w:id="0" w:name="_GoBack"/>
      <w:bookmarkEnd w:id="0"/>
    </w:p>
    <w:p w:rsidR="00C34F71" w:rsidRDefault="00C34F71" w:rsidP="00C34F71">
      <w:pPr>
        <w:rPr>
          <w:sz w:val="16"/>
          <w:szCs w:val="16"/>
        </w:rPr>
      </w:pPr>
      <w:r w:rsidRPr="00CF18CC">
        <w:rPr>
          <w:noProof/>
          <w:sz w:val="16"/>
          <w:szCs w:val="16"/>
        </w:rPr>
        <w:drawing>
          <wp:inline distT="0" distB="0" distL="0" distR="0" wp14:anchorId="33C2770B" wp14:editId="465DB165">
            <wp:extent cx="828675" cy="295275"/>
            <wp:effectExtent l="0" t="0" r="9525" b="9525"/>
            <wp:docPr id="1" name="Picture 1"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C34F71" w:rsidRDefault="00C34F71" w:rsidP="00C34F71">
      <w:pPr>
        <w:rPr>
          <w:rFonts w:cs="Poppins"/>
          <w:color w:val="000000"/>
          <w:sz w:val="16"/>
          <w:szCs w:val="16"/>
          <w:shd w:val="clear" w:color="auto" w:fill="FFFFFF"/>
        </w:rPr>
      </w:pPr>
      <w:r w:rsidRPr="00B53896">
        <w:rPr>
          <w:rFonts w:cs="Poppins"/>
          <w:sz w:val="16"/>
          <w:szCs w:val="16"/>
        </w:rPr>
        <w:t>© 202</w:t>
      </w:r>
      <w:r>
        <w:rPr>
          <w:rFonts w:cs="Poppins"/>
          <w:sz w:val="16"/>
          <w:szCs w:val="16"/>
        </w:rPr>
        <w:t>4</w:t>
      </w:r>
      <w:r w:rsidRPr="00B53896">
        <w:rPr>
          <w:rFonts w:cs="Poppins"/>
          <w:sz w:val="16"/>
          <w:szCs w:val="16"/>
        </w:rPr>
        <w:t xml:space="preserve"> by the University of Liverpool, Centre for Innovation in Education.</w:t>
      </w:r>
      <w:r w:rsidRPr="00B53896">
        <w:rPr>
          <w:rFonts w:cs="Poppins"/>
          <w:sz w:val="16"/>
          <w:szCs w:val="16"/>
        </w:rPr>
        <w:br/>
      </w:r>
      <w:r w:rsidRPr="0093081C">
        <w:rPr>
          <w:rFonts w:cs="Poppins"/>
          <w:sz w:val="16"/>
          <w:szCs w:val="16"/>
        </w:rPr>
        <w:t>Equality, Diversity and Inclusion Action Plan</w:t>
      </w:r>
      <w:r w:rsidRPr="00B53896">
        <w:rPr>
          <w:rFonts w:cs="Poppins"/>
          <w:sz w:val="16"/>
          <w:szCs w:val="16"/>
        </w:rPr>
        <w:t xml:space="preserve"> by</w:t>
      </w:r>
      <w:r>
        <w:rPr>
          <w:rFonts w:cs="Poppins"/>
          <w:sz w:val="16"/>
          <w:szCs w:val="16"/>
        </w:rPr>
        <w:t xml:space="preserve"> Laura Blundell</w:t>
      </w:r>
      <w:r w:rsidRPr="00B53896">
        <w:rPr>
          <w:rFonts w:cs="Poppins"/>
          <w:sz w:val="16"/>
          <w:szCs w:val="16"/>
        </w:rPr>
        <w:t xml:space="preserve"> is made available under a </w:t>
      </w:r>
      <w:hyperlink r:id="rId11" w:tgtFrame="_blank" w:tooltip="Creative Commons Attribution-NonCommercial 4.0 International License" w:history="1">
        <w:r w:rsidRPr="00B53896">
          <w:rPr>
            <w:rStyle w:val="Hyperlink"/>
            <w:rFonts w:cs="Poppins"/>
            <w:sz w:val="16"/>
            <w:szCs w:val="16"/>
            <w:shd w:val="clear" w:color="auto" w:fill="FFFFFF"/>
          </w:rPr>
          <w:t>Creative Commons Attribution-</w:t>
        </w:r>
        <w:proofErr w:type="spellStart"/>
        <w:r w:rsidRPr="00B53896">
          <w:rPr>
            <w:rStyle w:val="Hyperlink"/>
            <w:rFonts w:cs="Poppins"/>
            <w:sz w:val="16"/>
            <w:szCs w:val="16"/>
            <w:shd w:val="clear" w:color="auto" w:fill="FFFFFF"/>
          </w:rPr>
          <w:t>NonCommercial</w:t>
        </w:r>
        <w:proofErr w:type="spellEnd"/>
        <w:r w:rsidRPr="00B53896">
          <w:rPr>
            <w:rStyle w:val="Hyperlink"/>
            <w:rFonts w:cs="Poppins"/>
            <w:sz w:val="16"/>
            <w:szCs w:val="16"/>
            <w:shd w:val="clear" w:color="auto" w:fill="FFFFFF"/>
          </w:rPr>
          <w:t xml:space="preserve"> 4.0 International License</w:t>
        </w:r>
      </w:hyperlink>
      <w:r w:rsidRPr="00B53896">
        <w:rPr>
          <w:rFonts w:cs="Poppins"/>
          <w:color w:val="000000"/>
          <w:sz w:val="16"/>
          <w:szCs w:val="16"/>
          <w:shd w:val="clear" w:color="auto" w:fill="FFFFFF"/>
        </w:rPr>
        <w:t>.</w:t>
      </w:r>
    </w:p>
    <w:p w:rsidR="00CA5B9B" w:rsidRPr="00B53896" w:rsidRDefault="00CA5B9B" w:rsidP="004E5854">
      <w:pPr>
        <w:pStyle w:val="Heading1"/>
        <w:rPr>
          <w:rFonts w:eastAsia="Times New Roman" w:cs="Poppins"/>
          <w:vanish/>
          <w:sz w:val="16"/>
          <w:szCs w:val="16"/>
          <w:lang w:eastAsia="en-GB"/>
        </w:rPr>
      </w:pPr>
      <w:r w:rsidRPr="00FD5E0D">
        <w:lastRenderedPageBreak/>
        <w:t>Equality, Diversity and Inclusion Action Plan</w:t>
      </w:r>
    </w:p>
    <w:p w:rsidR="00C34F71" w:rsidRPr="00B53896" w:rsidRDefault="00C34F71" w:rsidP="00C34F71">
      <w:pPr>
        <w:spacing w:after="200"/>
        <w:rPr>
          <w:rFonts w:cs="Poppins"/>
        </w:rPr>
      </w:pPr>
    </w:p>
    <w:tbl>
      <w:tblPr>
        <w:tblStyle w:val="TableGrid"/>
        <w:tblW w:w="0" w:type="auto"/>
        <w:tblLook w:val="04A0" w:firstRow="1" w:lastRow="0" w:firstColumn="1" w:lastColumn="0" w:noHBand="0" w:noVBand="1"/>
      </w:tblPr>
      <w:tblGrid>
        <w:gridCol w:w="2789"/>
        <w:gridCol w:w="2789"/>
        <w:gridCol w:w="2790"/>
        <w:gridCol w:w="2790"/>
        <w:gridCol w:w="2790"/>
      </w:tblGrid>
      <w:tr w:rsidR="00FD5E0D" w:rsidTr="00FD5E0D">
        <w:tc>
          <w:tcPr>
            <w:tcW w:w="2789" w:type="dxa"/>
          </w:tcPr>
          <w:p w:rsidR="00FD5E0D" w:rsidRPr="00FD5E0D" w:rsidRDefault="00FD5E0D" w:rsidP="00FD5E0D">
            <w:pPr>
              <w:rPr>
                <w:b/>
                <w:sz w:val="22"/>
              </w:rPr>
            </w:pPr>
            <w:r w:rsidRPr="00FD5E0D">
              <w:rPr>
                <w:b/>
                <w:sz w:val="22"/>
              </w:rPr>
              <w:t>Objective</w:t>
            </w:r>
          </w:p>
        </w:tc>
        <w:tc>
          <w:tcPr>
            <w:tcW w:w="2789" w:type="dxa"/>
          </w:tcPr>
          <w:p w:rsidR="00FD5E0D" w:rsidRPr="00FD5E0D" w:rsidRDefault="00FD5E0D" w:rsidP="00FD5E0D">
            <w:pPr>
              <w:rPr>
                <w:b/>
                <w:sz w:val="22"/>
              </w:rPr>
            </w:pPr>
            <w:r w:rsidRPr="00FD5E0D">
              <w:rPr>
                <w:b/>
                <w:sz w:val="22"/>
              </w:rPr>
              <w:t>Tasks</w:t>
            </w:r>
          </w:p>
        </w:tc>
        <w:tc>
          <w:tcPr>
            <w:tcW w:w="2790" w:type="dxa"/>
          </w:tcPr>
          <w:p w:rsidR="00FD5E0D" w:rsidRPr="00FD5E0D" w:rsidRDefault="00740EC9" w:rsidP="00FD5E0D">
            <w:pPr>
              <w:rPr>
                <w:b/>
                <w:sz w:val="22"/>
              </w:rPr>
            </w:pPr>
            <w:r>
              <w:rPr>
                <w:b/>
                <w:sz w:val="22"/>
              </w:rPr>
              <w:t>Resources</w:t>
            </w:r>
          </w:p>
        </w:tc>
        <w:tc>
          <w:tcPr>
            <w:tcW w:w="2790" w:type="dxa"/>
          </w:tcPr>
          <w:p w:rsidR="00FD5E0D" w:rsidRPr="00FD5E0D" w:rsidRDefault="00FD5E0D" w:rsidP="00FD5E0D">
            <w:pPr>
              <w:rPr>
                <w:b/>
                <w:sz w:val="22"/>
              </w:rPr>
            </w:pPr>
            <w:r w:rsidRPr="00FD5E0D">
              <w:rPr>
                <w:b/>
                <w:sz w:val="22"/>
              </w:rPr>
              <w:t>Time Frame</w:t>
            </w:r>
          </w:p>
        </w:tc>
        <w:tc>
          <w:tcPr>
            <w:tcW w:w="2790" w:type="dxa"/>
          </w:tcPr>
          <w:p w:rsidR="00FD5E0D" w:rsidRPr="00FD5E0D" w:rsidRDefault="00740EC9" w:rsidP="00FD5E0D">
            <w:pPr>
              <w:rPr>
                <w:b/>
                <w:sz w:val="22"/>
              </w:rPr>
            </w:pPr>
            <w:r>
              <w:rPr>
                <w:b/>
                <w:sz w:val="22"/>
              </w:rPr>
              <w:t>Success Criteria</w:t>
            </w:r>
          </w:p>
        </w:tc>
      </w:tr>
      <w:tr w:rsidR="00FD5E0D" w:rsidTr="00FD5E0D">
        <w:tc>
          <w:tcPr>
            <w:tcW w:w="2789" w:type="dxa"/>
          </w:tcPr>
          <w:p w:rsidR="00FD5E0D" w:rsidRDefault="00F1028F" w:rsidP="00B53896">
            <w:pPr>
              <w:rPr>
                <w:sz w:val="16"/>
                <w:szCs w:val="16"/>
              </w:rPr>
            </w:pPr>
            <w:r>
              <w:rPr>
                <w:sz w:val="16"/>
                <w:szCs w:val="16"/>
              </w:rPr>
              <w:t>Example:</w:t>
            </w:r>
          </w:p>
          <w:p w:rsidR="00F1028F" w:rsidRDefault="006D5174" w:rsidP="00B53896">
            <w:pPr>
              <w:rPr>
                <w:sz w:val="16"/>
                <w:szCs w:val="16"/>
              </w:rPr>
            </w:pPr>
            <w:r>
              <w:rPr>
                <w:sz w:val="16"/>
                <w:szCs w:val="16"/>
              </w:rPr>
              <w:t>Diversify ways for students to contribute to in class discussions.</w:t>
            </w:r>
          </w:p>
        </w:tc>
        <w:tc>
          <w:tcPr>
            <w:tcW w:w="2789" w:type="dxa"/>
          </w:tcPr>
          <w:p w:rsidR="00FD5E0D" w:rsidRDefault="006D5174" w:rsidP="00B53896">
            <w:pPr>
              <w:rPr>
                <w:sz w:val="16"/>
                <w:szCs w:val="16"/>
              </w:rPr>
            </w:pPr>
            <w:r>
              <w:rPr>
                <w:sz w:val="16"/>
                <w:szCs w:val="16"/>
              </w:rPr>
              <w:t>Explore different methods of class participation.</w:t>
            </w:r>
          </w:p>
          <w:p w:rsidR="006D5174" w:rsidRDefault="006D5174" w:rsidP="00B53896">
            <w:pPr>
              <w:rPr>
                <w:sz w:val="16"/>
                <w:szCs w:val="16"/>
              </w:rPr>
            </w:pPr>
          </w:p>
          <w:p w:rsidR="006D5174" w:rsidRDefault="006D5174" w:rsidP="00B53896">
            <w:pPr>
              <w:rPr>
                <w:sz w:val="16"/>
                <w:szCs w:val="16"/>
              </w:rPr>
            </w:pPr>
            <w:r>
              <w:rPr>
                <w:sz w:val="16"/>
                <w:szCs w:val="16"/>
              </w:rPr>
              <w:t>Learn how to use polling software.</w:t>
            </w:r>
          </w:p>
          <w:p w:rsidR="006D5174" w:rsidRDefault="006D5174" w:rsidP="00B53896">
            <w:pPr>
              <w:rPr>
                <w:sz w:val="16"/>
                <w:szCs w:val="16"/>
              </w:rPr>
            </w:pPr>
          </w:p>
          <w:p w:rsidR="006D5174" w:rsidRDefault="006D5174" w:rsidP="00B53896">
            <w:pPr>
              <w:rPr>
                <w:sz w:val="16"/>
                <w:szCs w:val="16"/>
              </w:rPr>
            </w:pPr>
            <w:r>
              <w:rPr>
                <w:sz w:val="16"/>
                <w:szCs w:val="16"/>
              </w:rPr>
              <w:t>Introduce different methods to students in seminars.</w:t>
            </w:r>
          </w:p>
        </w:tc>
        <w:tc>
          <w:tcPr>
            <w:tcW w:w="2790" w:type="dxa"/>
          </w:tcPr>
          <w:p w:rsidR="006D5174" w:rsidRDefault="006D5174" w:rsidP="00B53896">
            <w:pPr>
              <w:rPr>
                <w:sz w:val="16"/>
                <w:szCs w:val="16"/>
              </w:rPr>
            </w:pPr>
            <w:r>
              <w:rPr>
                <w:sz w:val="16"/>
                <w:szCs w:val="16"/>
              </w:rPr>
              <w:t>Help from CIE with options.</w:t>
            </w:r>
          </w:p>
          <w:p w:rsidR="006D5174" w:rsidRDefault="006D5174" w:rsidP="00B53896">
            <w:pPr>
              <w:rPr>
                <w:sz w:val="16"/>
                <w:szCs w:val="16"/>
              </w:rPr>
            </w:pPr>
          </w:p>
          <w:p w:rsidR="006D5174" w:rsidRDefault="006D5174" w:rsidP="00B53896">
            <w:pPr>
              <w:rPr>
                <w:sz w:val="16"/>
                <w:szCs w:val="16"/>
              </w:rPr>
            </w:pPr>
            <w:r>
              <w:rPr>
                <w:sz w:val="16"/>
                <w:szCs w:val="16"/>
              </w:rPr>
              <w:t xml:space="preserve">Workshop on </w:t>
            </w:r>
            <w:proofErr w:type="spellStart"/>
            <w:r>
              <w:rPr>
                <w:sz w:val="16"/>
                <w:szCs w:val="16"/>
              </w:rPr>
              <w:t>polleverywhere</w:t>
            </w:r>
            <w:proofErr w:type="spellEnd"/>
            <w:r>
              <w:rPr>
                <w:sz w:val="16"/>
                <w:szCs w:val="16"/>
              </w:rPr>
              <w:t>.</w:t>
            </w:r>
          </w:p>
          <w:p w:rsidR="006D5174" w:rsidRDefault="006D5174" w:rsidP="00B53896">
            <w:pPr>
              <w:rPr>
                <w:sz w:val="16"/>
                <w:szCs w:val="16"/>
              </w:rPr>
            </w:pPr>
          </w:p>
          <w:p w:rsidR="006D5174" w:rsidRDefault="006D5174" w:rsidP="00B53896">
            <w:pPr>
              <w:rPr>
                <w:sz w:val="16"/>
                <w:szCs w:val="16"/>
              </w:rPr>
            </w:pPr>
            <w:r>
              <w:rPr>
                <w:sz w:val="16"/>
                <w:szCs w:val="16"/>
              </w:rPr>
              <w:t>Create a PowerPoint slide for the start of each seminar that shows students how they can contribute to discussions.</w:t>
            </w:r>
          </w:p>
        </w:tc>
        <w:tc>
          <w:tcPr>
            <w:tcW w:w="2790" w:type="dxa"/>
          </w:tcPr>
          <w:p w:rsidR="00FD5E0D" w:rsidRDefault="006D5174" w:rsidP="00B53896">
            <w:pPr>
              <w:rPr>
                <w:sz w:val="16"/>
                <w:szCs w:val="16"/>
              </w:rPr>
            </w:pPr>
            <w:r>
              <w:rPr>
                <w:sz w:val="16"/>
                <w:szCs w:val="16"/>
              </w:rPr>
              <w:t>For next semester</w:t>
            </w:r>
          </w:p>
        </w:tc>
        <w:tc>
          <w:tcPr>
            <w:tcW w:w="2790" w:type="dxa"/>
          </w:tcPr>
          <w:p w:rsidR="00FD5E0D" w:rsidRDefault="006D5174" w:rsidP="00B53896">
            <w:pPr>
              <w:rPr>
                <w:sz w:val="16"/>
                <w:szCs w:val="16"/>
              </w:rPr>
            </w:pPr>
            <w:r>
              <w:rPr>
                <w:sz w:val="16"/>
                <w:szCs w:val="16"/>
              </w:rPr>
              <w:t xml:space="preserve">Increase in student participation in seminar discussions. </w:t>
            </w:r>
          </w:p>
        </w:tc>
      </w:tr>
      <w:tr w:rsidR="00FD5E0D" w:rsidTr="00FD5E0D">
        <w:tc>
          <w:tcPr>
            <w:tcW w:w="2789" w:type="dxa"/>
          </w:tcPr>
          <w:p w:rsidR="00FD5E0D" w:rsidRDefault="00FD5E0D"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FD5E0D" w:rsidRDefault="00FD5E0D" w:rsidP="00B53896">
            <w:pPr>
              <w:rPr>
                <w:sz w:val="16"/>
                <w:szCs w:val="16"/>
              </w:rPr>
            </w:pPr>
          </w:p>
        </w:tc>
        <w:tc>
          <w:tcPr>
            <w:tcW w:w="2790" w:type="dxa"/>
          </w:tcPr>
          <w:p w:rsidR="00FD5E0D" w:rsidRDefault="00FD5E0D" w:rsidP="00B53896">
            <w:pPr>
              <w:rPr>
                <w:sz w:val="16"/>
                <w:szCs w:val="16"/>
              </w:rPr>
            </w:pPr>
          </w:p>
        </w:tc>
        <w:tc>
          <w:tcPr>
            <w:tcW w:w="2790" w:type="dxa"/>
          </w:tcPr>
          <w:p w:rsidR="00FD5E0D" w:rsidRDefault="00FD5E0D" w:rsidP="00B53896">
            <w:pPr>
              <w:rPr>
                <w:sz w:val="16"/>
                <w:szCs w:val="16"/>
              </w:rPr>
            </w:pPr>
          </w:p>
        </w:tc>
        <w:tc>
          <w:tcPr>
            <w:tcW w:w="2790" w:type="dxa"/>
          </w:tcPr>
          <w:p w:rsidR="00FD5E0D" w:rsidRDefault="00FD5E0D" w:rsidP="00B53896">
            <w:pPr>
              <w:rPr>
                <w:sz w:val="16"/>
                <w:szCs w:val="16"/>
              </w:rPr>
            </w:pPr>
          </w:p>
        </w:tc>
      </w:tr>
      <w:tr w:rsidR="00E53C55" w:rsidTr="00FD5E0D">
        <w:tc>
          <w:tcPr>
            <w:tcW w:w="2789" w:type="dxa"/>
          </w:tcPr>
          <w:p w:rsidR="00E53C55" w:rsidRDefault="00E53C55"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E53C55" w:rsidRDefault="00E53C55" w:rsidP="00B53896">
            <w:pPr>
              <w:rPr>
                <w:sz w:val="16"/>
                <w:szCs w:val="16"/>
              </w:rPr>
            </w:pPr>
          </w:p>
        </w:tc>
        <w:tc>
          <w:tcPr>
            <w:tcW w:w="2790" w:type="dxa"/>
          </w:tcPr>
          <w:p w:rsidR="00E53C55" w:rsidRDefault="00E53C55" w:rsidP="00B53896">
            <w:pPr>
              <w:rPr>
                <w:sz w:val="16"/>
                <w:szCs w:val="16"/>
              </w:rPr>
            </w:pPr>
          </w:p>
        </w:tc>
        <w:tc>
          <w:tcPr>
            <w:tcW w:w="2790" w:type="dxa"/>
          </w:tcPr>
          <w:p w:rsidR="00E53C55" w:rsidRDefault="00E53C55" w:rsidP="00B53896">
            <w:pPr>
              <w:rPr>
                <w:sz w:val="16"/>
                <w:szCs w:val="16"/>
              </w:rPr>
            </w:pPr>
          </w:p>
        </w:tc>
        <w:tc>
          <w:tcPr>
            <w:tcW w:w="2790" w:type="dxa"/>
          </w:tcPr>
          <w:p w:rsidR="00E53C55" w:rsidRDefault="00E53C55" w:rsidP="00B53896">
            <w:pPr>
              <w:rPr>
                <w:sz w:val="16"/>
                <w:szCs w:val="16"/>
              </w:rPr>
            </w:pPr>
          </w:p>
        </w:tc>
      </w:tr>
      <w:tr w:rsidR="00E53C55" w:rsidTr="00FD5E0D">
        <w:tc>
          <w:tcPr>
            <w:tcW w:w="2789" w:type="dxa"/>
          </w:tcPr>
          <w:p w:rsidR="00E53C55" w:rsidRDefault="00E53C55"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E53C55" w:rsidRDefault="00E53C55" w:rsidP="00B53896">
            <w:pPr>
              <w:rPr>
                <w:sz w:val="16"/>
                <w:szCs w:val="16"/>
              </w:rPr>
            </w:pPr>
          </w:p>
        </w:tc>
        <w:tc>
          <w:tcPr>
            <w:tcW w:w="2790" w:type="dxa"/>
          </w:tcPr>
          <w:p w:rsidR="00E53C55" w:rsidRDefault="00E53C55" w:rsidP="00B53896">
            <w:pPr>
              <w:rPr>
                <w:sz w:val="16"/>
                <w:szCs w:val="16"/>
              </w:rPr>
            </w:pPr>
          </w:p>
        </w:tc>
        <w:tc>
          <w:tcPr>
            <w:tcW w:w="2790" w:type="dxa"/>
          </w:tcPr>
          <w:p w:rsidR="00E53C55" w:rsidRDefault="00E53C55" w:rsidP="00B53896">
            <w:pPr>
              <w:rPr>
                <w:sz w:val="16"/>
                <w:szCs w:val="16"/>
              </w:rPr>
            </w:pPr>
          </w:p>
        </w:tc>
        <w:tc>
          <w:tcPr>
            <w:tcW w:w="2790" w:type="dxa"/>
          </w:tcPr>
          <w:p w:rsidR="00E53C55" w:rsidRDefault="00E53C55" w:rsidP="00B53896">
            <w:pPr>
              <w:rPr>
                <w:sz w:val="16"/>
                <w:szCs w:val="16"/>
              </w:rPr>
            </w:pPr>
          </w:p>
        </w:tc>
      </w:tr>
      <w:tr w:rsidR="006D5174" w:rsidTr="00FD5E0D">
        <w:tc>
          <w:tcPr>
            <w:tcW w:w="2789" w:type="dxa"/>
          </w:tcPr>
          <w:p w:rsidR="006D5174" w:rsidRDefault="006D5174"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r>
      <w:tr w:rsidR="006D5174" w:rsidTr="00FD5E0D">
        <w:tc>
          <w:tcPr>
            <w:tcW w:w="2789" w:type="dxa"/>
          </w:tcPr>
          <w:p w:rsidR="006D5174" w:rsidRDefault="006D5174"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r>
      <w:tr w:rsidR="006D5174" w:rsidTr="00FD5E0D">
        <w:tc>
          <w:tcPr>
            <w:tcW w:w="2789" w:type="dxa"/>
          </w:tcPr>
          <w:p w:rsidR="006D5174" w:rsidRDefault="006D5174" w:rsidP="00B53896">
            <w:pPr>
              <w:rPr>
                <w:sz w:val="16"/>
                <w:szCs w:val="16"/>
              </w:rPr>
            </w:pPr>
          </w:p>
          <w:p w:rsidR="006D5174" w:rsidRDefault="006D5174" w:rsidP="00B53896">
            <w:pPr>
              <w:rPr>
                <w:sz w:val="16"/>
                <w:szCs w:val="16"/>
              </w:rPr>
            </w:pPr>
          </w:p>
          <w:p w:rsidR="006D5174" w:rsidRDefault="006D5174" w:rsidP="00B53896">
            <w:pPr>
              <w:rPr>
                <w:sz w:val="16"/>
                <w:szCs w:val="16"/>
              </w:rPr>
            </w:pPr>
          </w:p>
        </w:tc>
        <w:tc>
          <w:tcPr>
            <w:tcW w:w="2789"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c>
          <w:tcPr>
            <w:tcW w:w="2790" w:type="dxa"/>
          </w:tcPr>
          <w:p w:rsidR="006D5174" w:rsidRDefault="006D5174" w:rsidP="00B53896">
            <w:pPr>
              <w:rPr>
                <w:sz w:val="16"/>
                <w:szCs w:val="16"/>
              </w:rPr>
            </w:pPr>
          </w:p>
        </w:tc>
      </w:tr>
    </w:tbl>
    <w:p w:rsidR="00B53896" w:rsidRDefault="00B53896" w:rsidP="00B53896">
      <w:pPr>
        <w:rPr>
          <w:sz w:val="16"/>
          <w:szCs w:val="16"/>
        </w:rPr>
      </w:pPr>
    </w:p>
    <w:p w:rsidR="00B53896" w:rsidRDefault="00B53896" w:rsidP="00B53896">
      <w:pPr>
        <w:rPr>
          <w:rFonts w:cs="Poppins"/>
          <w:b/>
          <w:sz w:val="32"/>
        </w:rPr>
      </w:pPr>
    </w:p>
    <w:p w:rsidR="00C35FA1" w:rsidRPr="000C2FB3" w:rsidRDefault="00C35FA1" w:rsidP="00313169"/>
    <w:sectPr w:rsidR="00C35FA1" w:rsidRPr="000C2FB3" w:rsidSect="0093081C">
      <w:footerReference w:type="default" r:id="rId12"/>
      <w:head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81A" w:rsidRDefault="0042481A" w:rsidP="00C35FA1">
      <w:pPr>
        <w:spacing w:after="0" w:line="240" w:lineRule="auto"/>
      </w:pPr>
      <w:r>
        <w:separator/>
      </w:r>
    </w:p>
  </w:endnote>
  <w:endnote w:type="continuationSeparator" w:id="0">
    <w:p w:rsidR="0042481A" w:rsidRDefault="0042481A" w:rsidP="00C3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36553255"/>
      <w:docPartObj>
        <w:docPartGallery w:val="Page Numbers (Bottom of Page)"/>
        <w:docPartUnique/>
      </w:docPartObj>
    </w:sdtPr>
    <w:sdtEndPr>
      <w:rPr>
        <w:noProof/>
      </w:rPr>
    </w:sdtEndPr>
    <w:sdtContent>
      <w:p w:rsidR="003970C1" w:rsidRPr="003970C1" w:rsidRDefault="003970C1">
        <w:pPr>
          <w:pStyle w:val="Footer"/>
          <w:jc w:val="center"/>
          <w:rPr>
            <w:rFonts w:cs="Poppins"/>
          </w:rPr>
        </w:pPr>
        <w:r w:rsidRPr="003970C1">
          <w:rPr>
            <w:rFonts w:cs="Poppins"/>
          </w:rPr>
          <w:fldChar w:fldCharType="begin"/>
        </w:r>
        <w:r w:rsidRPr="003970C1">
          <w:rPr>
            <w:rFonts w:cs="Poppins"/>
          </w:rPr>
          <w:instrText xml:space="preserve"> PAGE   \* MERGEFORMAT </w:instrText>
        </w:r>
        <w:r w:rsidRPr="003970C1">
          <w:rPr>
            <w:rFonts w:cs="Poppins"/>
          </w:rPr>
          <w:fldChar w:fldCharType="separate"/>
        </w:r>
        <w:r w:rsidRPr="003970C1">
          <w:rPr>
            <w:rFonts w:cs="Poppins"/>
            <w:noProof/>
          </w:rPr>
          <w:t>2</w:t>
        </w:r>
        <w:r w:rsidRPr="003970C1">
          <w:rPr>
            <w:rFonts w:cs="Poppins"/>
            <w:noProof/>
          </w:rPr>
          <w:fldChar w:fldCharType="end"/>
        </w:r>
      </w:p>
    </w:sdtContent>
  </w:sdt>
  <w:p w:rsidR="003970C1" w:rsidRPr="003970C1" w:rsidRDefault="003970C1">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81A" w:rsidRDefault="0042481A" w:rsidP="00C35FA1">
      <w:pPr>
        <w:spacing w:after="0" w:line="240" w:lineRule="auto"/>
      </w:pPr>
      <w:r>
        <w:separator/>
      </w:r>
    </w:p>
  </w:footnote>
  <w:footnote w:type="continuationSeparator" w:id="0">
    <w:p w:rsidR="0042481A" w:rsidRDefault="0042481A" w:rsidP="00C3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776" w:rsidRDefault="00D77776" w:rsidP="00D77776">
    <w:pPr>
      <w:pStyle w:val="Header"/>
      <w:spacing w:after="400"/>
    </w:pPr>
    <w:r>
      <w:rPr>
        <w:noProof/>
      </w:rPr>
      <w:ptab w:relativeTo="margin" w:alignment="left" w:leader="none"/>
    </w:r>
    <w:r>
      <w:rPr>
        <w:noProof/>
      </w:rPr>
      <w:drawing>
        <wp:inline distT="0" distB="0" distL="0" distR="0" wp14:anchorId="099482DC" wp14:editId="216CF309">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43D86B92" wp14:editId="60A39DFF">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1"/>
    <w:rsid w:val="000124C9"/>
    <w:rsid w:val="00016B6D"/>
    <w:rsid w:val="00052A34"/>
    <w:rsid w:val="000C2FB3"/>
    <w:rsid w:val="001671D4"/>
    <w:rsid w:val="003035F7"/>
    <w:rsid w:val="00313169"/>
    <w:rsid w:val="003759FC"/>
    <w:rsid w:val="003970C1"/>
    <w:rsid w:val="003D2AFE"/>
    <w:rsid w:val="0042481A"/>
    <w:rsid w:val="004E5854"/>
    <w:rsid w:val="00571E98"/>
    <w:rsid w:val="00594E7C"/>
    <w:rsid w:val="006A5BAD"/>
    <w:rsid w:val="006D5174"/>
    <w:rsid w:val="006F09FC"/>
    <w:rsid w:val="00701828"/>
    <w:rsid w:val="00740EC9"/>
    <w:rsid w:val="0093081C"/>
    <w:rsid w:val="009E2081"/>
    <w:rsid w:val="00B319BD"/>
    <w:rsid w:val="00B53896"/>
    <w:rsid w:val="00B8382D"/>
    <w:rsid w:val="00C34F71"/>
    <w:rsid w:val="00C35FA1"/>
    <w:rsid w:val="00CA5B9B"/>
    <w:rsid w:val="00CC083A"/>
    <w:rsid w:val="00CD31EC"/>
    <w:rsid w:val="00D77776"/>
    <w:rsid w:val="00E53C55"/>
    <w:rsid w:val="00E76C05"/>
    <w:rsid w:val="00EB4178"/>
    <w:rsid w:val="00F07630"/>
    <w:rsid w:val="00F1028F"/>
    <w:rsid w:val="00FD5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01451"/>
  <w15:chartTrackingRefBased/>
  <w15:docId w15:val="{2B6B6AC2-CB2D-492D-AEFF-A00A2CC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4C9"/>
    <w:rPr>
      <w:rFonts w:ascii="Poppins" w:hAnsi="Poppins"/>
      <w:sz w:val="20"/>
    </w:rPr>
  </w:style>
  <w:style w:type="paragraph" w:styleId="Heading1">
    <w:name w:val="heading 1"/>
    <w:basedOn w:val="Normal"/>
    <w:next w:val="Normal"/>
    <w:link w:val="Heading1Char"/>
    <w:uiPriority w:val="9"/>
    <w:qFormat/>
    <w:rsid w:val="00B53896"/>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3896"/>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F07630"/>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A1"/>
  </w:style>
  <w:style w:type="paragraph" w:styleId="Footer">
    <w:name w:val="footer"/>
    <w:basedOn w:val="Normal"/>
    <w:link w:val="FooterChar"/>
    <w:uiPriority w:val="99"/>
    <w:unhideWhenUsed/>
    <w:rsid w:val="00C3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A1"/>
  </w:style>
  <w:style w:type="character" w:customStyle="1" w:styleId="Heading1Char">
    <w:name w:val="Heading 1 Char"/>
    <w:basedOn w:val="DefaultParagraphFont"/>
    <w:link w:val="Heading1"/>
    <w:uiPriority w:val="9"/>
    <w:rsid w:val="00B53896"/>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B53896"/>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B53896"/>
    <w:rPr>
      <w:color w:val="0563C1" w:themeColor="hyperlink"/>
      <w:u w:val="single"/>
    </w:rPr>
  </w:style>
  <w:style w:type="character" w:styleId="FollowedHyperlink">
    <w:name w:val="FollowedHyperlink"/>
    <w:basedOn w:val="DefaultParagraphFont"/>
    <w:uiPriority w:val="99"/>
    <w:semiHidden/>
    <w:unhideWhenUsed/>
    <w:rsid w:val="00313169"/>
    <w:rPr>
      <w:color w:val="954F72" w:themeColor="followedHyperlink"/>
      <w:u w:val="single"/>
    </w:rPr>
  </w:style>
  <w:style w:type="table" w:styleId="TableGrid">
    <w:name w:val="Table Grid"/>
    <w:basedOn w:val="TableNormal"/>
    <w:uiPriority w:val="39"/>
    <w:rsid w:val="00FD5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28F"/>
    <w:rPr>
      <w:color w:val="605E5C"/>
      <w:shd w:val="clear" w:color="auto" w:fill="E1DFDD"/>
    </w:rPr>
  </w:style>
  <w:style w:type="character" w:customStyle="1" w:styleId="Heading3Char">
    <w:name w:val="Heading 3 Char"/>
    <w:basedOn w:val="DefaultParagraphFont"/>
    <w:link w:val="Heading3"/>
    <w:uiPriority w:val="9"/>
    <w:semiHidden/>
    <w:rsid w:val="00F07630"/>
    <w:rPr>
      <w:rFonts w:ascii="Poppins" w:eastAsiaTheme="majorEastAsia" w:hAnsi="Poppins"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liverpool.ac.uk/centre-for-innovation-in-education/curriculum-resources/inclusivity/inclusive-curriculum-too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111940E9CCF40B2C7F7EA6B6D4714" ma:contentTypeVersion="3" ma:contentTypeDescription="Create a new document." ma:contentTypeScope="" ma:versionID="dd381f1d349c362a4587c15815e23d4d">
  <xsd:schema xmlns:xsd="http://www.w3.org/2001/XMLSchema" xmlns:xs="http://www.w3.org/2001/XMLSchema" xmlns:p="http://schemas.microsoft.com/office/2006/metadata/properties" xmlns:ns2="0b04ebf6-6721-4a73-b9ae-c80c3794f30f" targetNamespace="http://schemas.microsoft.com/office/2006/metadata/properties" ma:root="true" ma:fieldsID="bb76fc3286a1e00412de1d8f0eb67c92" ns2:_="">
    <xsd:import namespace="0b04ebf6-6721-4a73-b9ae-c80c3794f3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4ebf6-6721-4a73-b9ae-c80c3794f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36EE7-286F-4EC0-9499-B1249CBB3ABC}">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0b04ebf6-6721-4a73-b9ae-c80c3794f30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A82BAB-5D59-4D7A-8BA3-A9AE37B45A7D}">
  <ds:schemaRefs>
    <ds:schemaRef ds:uri="http://schemas.microsoft.com/sharepoint/v3/contenttype/forms"/>
  </ds:schemaRefs>
</ds:datastoreItem>
</file>

<file path=customXml/itemProps3.xml><?xml version="1.0" encoding="utf-8"?>
<ds:datastoreItem xmlns:ds="http://schemas.openxmlformats.org/officeDocument/2006/customXml" ds:itemID="{3AF69EE5-429E-4156-8CBC-F8FB8FF7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4ebf6-6721-4a73-b9ae-c80c3794f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Equality, Diversity and Inclusion Action Plan</vt:lpstr>
    </vt:vector>
  </TitlesOfParts>
  <Company>The University of Liverpool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Action Plan</dc:title>
  <dc:subject/>
  <dc:creator>Blundell, Laura</dc:creator>
  <cp:keywords/>
  <dc:description/>
  <cp:lastModifiedBy>Wong, Dennis [dennisw]</cp:lastModifiedBy>
  <cp:revision>11</cp:revision>
  <dcterms:created xsi:type="dcterms:W3CDTF">2023-08-29T11:16:00Z</dcterms:created>
  <dcterms:modified xsi:type="dcterms:W3CDTF">2024-02-06T10:47:00Z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0x010100FF2111940E9CCF40B2C7F7EA6B6D4714</vt:lpwstr>
  </property>
</Properties>
</file>