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CA" w:rsidRPr="00EA36CE" w:rsidRDefault="001E1FCA" w:rsidP="00EA36CE">
      <w:pPr>
        <w:pStyle w:val="Heading1"/>
      </w:pPr>
      <w:r w:rsidRPr="00EA36CE">
        <w:t>Developing an Authentic Assessment ‘Audit’</w:t>
      </w:r>
    </w:p>
    <w:p w:rsidR="001E1FCA" w:rsidRPr="001E1FCA" w:rsidRDefault="001E1FCA" w:rsidP="001E1FCA">
      <w:pPr>
        <w:rPr>
          <w:rFonts w:cs="Poppins"/>
        </w:rPr>
      </w:pPr>
      <w:r w:rsidRPr="001E1FCA">
        <w:rPr>
          <w:rFonts w:cs="Poppins"/>
          <w:b/>
        </w:rPr>
        <w:t xml:space="preserve">Author(s): </w:t>
      </w:r>
      <w:r>
        <w:rPr>
          <w:rFonts w:cs="Poppins"/>
          <w:b/>
        </w:rPr>
        <w:t xml:space="preserve">Dr </w:t>
      </w:r>
      <w:proofErr w:type="spellStart"/>
      <w:r>
        <w:rPr>
          <w:rFonts w:cs="Poppins"/>
          <w:b/>
        </w:rPr>
        <w:t>Tünde</w:t>
      </w:r>
      <w:proofErr w:type="spellEnd"/>
      <w:r>
        <w:rPr>
          <w:rFonts w:cs="Poppins"/>
          <w:b/>
        </w:rPr>
        <w:t xml:space="preserve"> Varga-Atkins and Dr Sam Saunders</w:t>
      </w:r>
    </w:p>
    <w:p w:rsidR="001E1FCA" w:rsidRPr="001E1FCA" w:rsidRDefault="001E1FCA" w:rsidP="001E1FCA">
      <w:pPr>
        <w:pStyle w:val="Heading2"/>
        <w:rPr>
          <w:rFonts w:cs="Poppins"/>
        </w:rPr>
      </w:pPr>
      <w:r w:rsidRPr="001E1FCA">
        <w:rPr>
          <w:rFonts w:cs="Poppins"/>
        </w:rPr>
        <w:t>Description:</w:t>
      </w:r>
    </w:p>
    <w:p w:rsidR="001E1FCA" w:rsidRPr="001E1FCA" w:rsidRDefault="001E1FCA" w:rsidP="001E1FCA">
      <w:pPr>
        <w:rPr>
          <w:rFonts w:cs="Poppins"/>
        </w:rPr>
      </w:pPr>
      <w:r>
        <w:rPr>
          <w:rFonts w:cs="Poppins"/>
        </w:rPr>
        <w:t>This tool provides a space for you to rate a new/existing assessment against 9 different ‘dimensions’ of ‘authenticity’ and evaluate measures you may be able to take to improve any authentic aspect of an assessment. It also provides you with a space to muse on and evaluate the authenticity of an assessment, and give yourself a target to meet for each authenticity dimension.</w:t>
      </w:r>
    </w:p>
    <w:p w:rsidR="001E1FCA" w:rsidRPr="001E1FCA" w:rsidRDefault="001E1FCA" w:rsidP="001E1FCA">
      <w:pPr>
        <w:pStyle w:val="Heading2"/>
        <w:rPr>
          <w:rFonts w:cs="Poppins"/>
        </w:rPr>
      </w:pPr>
      <w:r w:rsidRPr="001E1FCA">
        <w:rPr>
          <w:rFonts w:cs="Poppins"/>
        </w:rPr>
        <w:t xml:space="preserve">Instructions for </w:t>
      </w:r>
      <w:r>
        <w:rPr>
          <w:rFonts w:cs="Poppins"/>
        </w:rPr>
        <w:t>U</w:t>
      </w:r>
      <w:r w:rsidRPr="001E1FCA">
        <w:rPr>
          <w:rFonts w:cs="Poppins"/>
        </w:rPr>
        <w:t>se:</w:t>
      </w:r>
    </w:p>
    <w:p w:rsidR="001E1FCA" w:rsidRPr="001E1FCA" w:rsidRDefault="001E1FCA" w:rsidP="001E1FCA">
      <w:pPr>
        <w:rPr>
          <w:rFonts w:cs="Poppins"/>
        </w:rPr>
      </w:pPr>
      <w:r>
        <w:rPr>
          <w:rFonts w:cs="Poppins"/>
        </w:rPr>
        <w:t>Follow the instructions on the tool itself to complete the embedded spreadsheet and radar diagram, which will provide you with an overall picture of the different facets of ‘authenticity’ your assessment currently meets. The chart is then used in conjunction with the table-based exercise on pp. 2-3, which provides a space to rationalise and evaluate your ratings against each of the authenticity ‘dimensions’ and give yourself a target for each dimension.</w:t>
      </w:r>
    </w:p>
    <w:p w:rsidR="001E1FCA" w:rsidRPr="001E1FCA" w:rsidRDefault="001E1FCA" w:rsidP="00E75CF6">
      <w:pPr>
        <w:spacing w:after="4800"/>
        <w:rPr>
          <w:rFonts w:cs="Poppins"/>
        </w:rPr>
      </w:pPr>
      <w:r w:rsidRPr="001E1FCA">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rsidR="001E1FCA" w:rsidRPr="001E1FCA" w:rsidRDefault="001E1FCA" w:rsidP="001E1FCA">
      <w:pPr>
        <w:rPr>
          <w:rFonts w:cs="Poppins"/>
          <w:sz w:val="16"/>
          <w:szCs w:val="16"/>
        </w:rPr>
      </w:pPr>
      <w:r w:rsidRPr="001E1FCA">
        <w:rPr>
          <w:rFonts w:cs="Poppins"/>
          <w:noProof/>
          <w:sz w:val="16"/>
          <w:szCs w:val="16"/>
        </w:rPr>
        <w:drawing>
          <wp:inline distT="0" distB="0" distL="0" distR="0" wp14:anchorId="70EB0953" wp14:editId="03D1AAB8">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1E1FCA" w:rsidRPr="001E1FCA" w:rsidRDefault="001E1FCA" w:rsidP="001E1FCA">
      <w:pPr>
        <w:rPr>
          <w:rFonts w:eastAsia="Times New Roman" w:cs="Poppins"/>
          <w:vanish/>
          <w:sz w:val="16"/>
          <w:szCs w:val="16"/>
          <w:lang w:eastAsia="en-GB"/>
        </w:rPr>
      </w:pPr>
      <w:r w:rsidRPr="001E1FCA">
        <w:rPr>
          <w:rFonts w:cs="Poppins"/>
          <w:sz w:val="16"/>
          <w:szCs w:val="16"/>
        </w:rPr>
        <w:t>© 2023 by the University of Liverpool, Centre for Innovation in Education.</w:t>
      </w:r>
      <w:r w:rsidRPr="001E1FCA">
        <w:rPr>
          <w:rFonts w:cs="Poppins"/>
          <w:sz w:val="16"/>
          <w:szCs w:val="16"/>
        </w:rPr>
        <w:br/>
      </w:r>
      <w:r>
        <w:rPr>
          <w:rFonts w:cs="Poppins"/>
          <w:sz w:val="16"/>
          <w:szCs w:val="16"/>
        </w:rPr>
        <w:t>Developing an Authentic Assessment ‘Audit’</w:t>
      </w:r>
      <w:r w:rsidRPr="001E1FCA">
        <w:rPr>
          <w:rFonts w:cs="Poppins"/>
          <w:sz w:val="16"/>
          <w:szCs w:val="16"/>
        </w:rPr>
        <w:t xml:space="preserve"> by </w:t>
      </w:r>
      <w:proofErr w:type="spellStart"/>
      <w:r>
        <w:rPr>
          <w:rFonts w:cs="Poppins"/>
          <w:sz w:val="16"/>
          <w:szCs w:val="16"/>
        </w:rPr>
        <w:t>Tünde</w:t>
      </w:r>
      <w:proofErr w:type="spellEnd"/>
      <w:r>
        <w:rPr>
          <w:rFonts w:cs="Poppins"/>
          <w:sz w:val="16"/>
          <w:szCs w:val="16"/>
        </w:rPr>
        <w:t xml:space="preserve"> Varga-Atkins and Sam Saunders</w:t>
      </w:r>
      <w:r w:rsidRPr="001E1FCA">
        <w:rPr>
          <w:rFonts w:cs="Poppins"/>
          <w:sz w:val="16"/>
          <w:szCs w:val="16"/>
        </w:rPr>
        <w:t xml:space="preserve"> is made available under a </w:t>
      </w:r>
      <w:hyperlink r:id="rId9" w:tgtFrame="_blank" w:tooltip="Creative Commons Attribution-NonCommercial 4.0 International License" w:history="1">
        <w:r w:rsidRPr="001E1FCA">
          <w:rPr>
            <w:rStyle w:val="Hyperlink"/>
            <w:rFonts w:cs="Poppins"/>
            <w:sz w:val="16"/>
            <w:szCs w:val="16"/>
            <w:shd w:val="clear" w:color="auto" w:fill="FFFFFF"/>
          </w:rPr>
          <w:t>Creative Commons Attribution-</w:t>
        </w:r>
        <w:proofErr w:type="spellStart"/>
        <w:r w:rsidRPr="001E1FCA">
          <w:rPr>
            <w:rStyle w:val="Hyperlink"/>
            <w:rFonts w:cs="Poppins"/>
            <w:sz w:val="16"/>
            <w:szCs w:val="16"/>
            <w:shd w:val="clear" w:color="auto" w:fill="FFFFFF"/>
          </w:rPr>
          <w:t>NonCommercial</w:t>
        </w:r>
        <w:proofErr w:type="spellEnd"/>
        <w:r w:rsidRPr="001E1FCA">
          <w:rPr>
            <w:rStyle w:val="Hyperlink"/>
            <w:rFonts w:cs="Poppins"/>
            <w:sz w:val="16"/>
            <w:szCs w:val="16"/>
            <w:shd w:val="clear" w:color="auto" w:fill="FFFFFF"/>
          </w:rPr>
          <w:t xml:space="preserve"> 4.0 International License</w:t>
        </w:r>
      </w:hyperlink>
      <w:r w:rsidRPr="001E1FCA">
        <w:rPr>
          <w:rFonts w:cs="Poppins"/>
          <w:color w:val="000000"/>
          <w:sz w:val="16"/>
          <w:szCs w:val="16"/>
          <w:shd w:val="clear" w:color="auto" w:fill="FFFFFF"/>
        </w:rPr>
        <w:t>.</w:t>
      </w:r>
    </w:p>
    <w:p w:rsidR="001E1FCA" w:rsidRPr="001E1FCA" w:rsidRDefault="001E1FCA" w:rsidP="001E1FCA">
      <w:pPr>
        <w:rPr>
          <w:rFonts w:cs="Poppins"/>
        </w:rPr>
      </w:pPr>
    </w:p>
    <w:p w:rsidR="001E1FCA" w:rsidRPr="001E1FCA" w:rsidRDefault="001E1FCA" w:rsidP="001E1FCA">
      <w:pPr>
        <w:rPr>
          <w:rFonts w:cs="Poppins"/>
          <w:sz w:val="36"/>
        </w:rPr>
        <w:sectPr w:rsidR="001E1FCA" w:rsidRPr="001E1FCA" w:rsidSect="00EA36CE">
          <w:headerReference w:type="first" r:id="rId10"/>
          <w:pgSz w:w="11906" w:h="16838" w:code="9"/>
          <w:pgMar w:top="1440" w:right="1440" w:bottom="1440" w:left="1440" w:header="708" w:footer="708" w:gutter="0"/>
          <w:cols w:space="708"/>
          <w:titlePg/>
          <w:docGrid w:linePitch="360"/>
        </w:sectPr>
      </w:pPr>
    </w:p>
    <w:p w:rsidR="00D31DF6" w:rsidRPr="000A54BD" w:rsidRDefault="00D31DF6" w:rsidP="001E2F72">
      <w:pPr>
        <w:pStyle w:val="Heading1"/>
      </w:pPr>
      <w:r w:rsidRPr="000A54BD">
        <w:lastRenderedPageBreak/>
        <w:t>Developing an Authentic Assessment</w:t>
      </w:r>
      <w:r w:rsidR="004165C6">
        <w:t xml:space="preserve"> </w:t>
      </w:r>
      <w:r w:rsidR="00B404D1">
        <w:t>‘</w:t>
      </w:r>
      <w:r w:rsidR="004165C6">
        <w:t>Audit</w:t>
      </w:r>
      <w:r w:rsidR="00B404D1">
        <w:t>’</w:t>
      </w:r>
    </w:p>
    <w:p w:rsidR="00D31DF6" w:rsidRPr="00E239E1" w:rsidRDefault="00D31DF6" w:rsidP="001E2F72">
      <w:r w:rsidRPr="00E239E1">
        <w:t xml:space="preserve">The purpose of this 'audit' is to see if you can improve the authenticity of a current </w:t>
      </w:r>
      <w:r w:rsidR="004165C6" w:rsidRPr="00E239E1">
        <w:t xml:space="preserve">or newly-created </w:t>
      </w:r>
      <w:r w:rsidRPr="00E239E1">
        <w:t>assessment.</w:t>
      </w:r>
    </w:p>
    <w:p w:rsidR="00D31DF6" w:rsidRPr="00E239E1" w:rsidRDefault="00D31DF6" w:rsidP="001E2F72">
      <w:pPr>
        <w:pStyle w:val="Heading2"/>
      </w:pPr>
      <w:r w:rsidRPr="00E239E1">
        <w:t>Instructions for Use</w:t>
      </w:r>
    </w:p>
    <w:p w:rsidR="00D31DF6" w:rsidRPr="00E239E1" w:rsidRDefault="004165C6" w:rsidP="00D31DF6">
      <w:pPr>
        <w:pStyle w:val="ListParagraph"/>
        <w:numPr>
          <w:ilvl w:val="0"/>
          <w:numId w:val="1"/>
        </w:numPr>
        <w:rPr>
          <w:rFonts w:cs="Poppins"/>
        </w:rPr>
      </w:pPr>
      <w:r w:rsidRPr="00E239E1">
        <w:rPr>
          <w:rFonts w:cs="Poppins"/>
        </w:rPr>
        <w:t>First, c</w:t>
      </w:r>
      <w:r w:rsidR="00D31DF6" w:rsidRPr="00E239E1">
        <w:rPr>
          <w:rFonts w:cs="Poppins"/>
        </w:rPr>
        <w:t>lick on the chart, then under the ‘Design’ tab</w:t>
      </w:r>
      <w:r w:rsidR="00CC2AC1" w:rsidRPr="00E239E1">
        <w:rPr>
          <w:rFonts w:cs="Poppins"/>
        </w:rPr>
        <w:t xml:space="preserve"> that appears</w:t>
      </w:r>
      <w:r w:rsidR="00D31DF6" w:rsidRPr="00E239E1">
        <w:rPr>
          <w:rFonts w:cs="Poppins"/>
        </w:rPr>
        <w:t xml:space="preserve"> at the top</w:t>
      </w:r>
      <w:r w:rsidR="00CC2AC1" w:rsidRPr="00E239E1">
        <w:rPr>
          <w:rFonts w:cs="Poppins"/>
        </w:rPr>
        <w:t xml:space="preserve"> of the window</w:t>
      </w:r>
      <w:r w:rsidR="00D31DF6" w:rsidRPr="00E239E1">
        <w:rPr>
          <w:rFonts w:cs="Poppins"/>
        </w:rPr>
        <w:t>, select ‘Edit Data’.</w:t>
      </w:r>
      <w:r w:rsidRPr="00E239E1">
        <w:rPr>
          <w:rFonts w:cs="Poppins"/>
        </w:rPr>
        <w:t xml:space="preserve"> This will open a mini-Excel spreadsheet within this document. </w:t>
      </w:r>
    </w:p>
    <w:p w:rsidR="0033629F" w:rsidRPr="00E239E1" w:rsidRDefault="004165C6" w:rsidP="00D31DF6">
      <w:pPr>
        <w:pStyle w:val="ListParagraph"/>
        <w:numPr>
          <w:ilvl w:val="0"/>
          <w:numId w:val="1"/>
        </w:numPr>
        <w:rPr>
          <w:rFonts w:cs="Poppins"/>
        </w:rPr>
      </w:pPr>
      <w:r w:rsidRPr="00E239E1">
        <w:rPr>
          <w:rFonts w:cs="Poppins"/>
        </w:rPr>
        <w:t xml:space="preserve">The chart below uses 9 dimensions of authenticity, which you need to score individually. </w:t>
      </w:r>
      <w:r w:rsidR="0033629F" w:rsidRPr="00E239E1">
        <w:rPr>
          <w:rFonts w:cs="Poppins"/>
        </w:rPr>
        <w:t xml:space="preserve">Score your assessment </w:t>
      </w:r>
      <w:r w:rsidRPr="00E239E1">
        <w:rPr>
          <w:rFonts w:cs="Poppins"/>
        </w:rPr>
        <w:t xml:space="preserve">for each dimension (between 0 and 10). The chart will update itself. </w:t>
      </w:r>
    </w:p>
    <w:p w:rsidR="004165C6" w:rsidRPr="00E239E1" w:rsidRDefault="004165C6" w:rsidP="00D31DF6">
      <w:pPr>
        <w:pStyle w:val="ListParagraph"/>
        <w:numPr>
          <w:ilvl w:val="0"/>
          <w:numId w:val="1"/>
        </w:numPr>
        <w:rPr>
          <w:rFonts w:cs="Poppins"/>
        </w:rPr>
      </w:pPr>
      <w:r w:rsidRPr="00E239E1">
        <w:rPr>
          <w:rFonts w:cs="Poppins"/>
        </w:rPr>
        <w:t xml:space="preserve">Do </w:t>
      </w:r>
      <w:r w:rsidRPr="00E239E1">
        <w:rPr>
          <w:rFonts w:cs="Poppins"/>
          <w:i/>
        </w:rPr>
        <w:t xml:space="preserve">not </w:t>
      </w:r>
      <w:r w:rsidRPr="00E239E1">
        <w:rPr>
          <w:rFonts w:cs="Poppins"/>
        </w:rPr>
        <w:t>fill in the ‘Target Score’ column at this point of the exercise.</w:t>
      </w:r>
    </w:p>
    <w:p w:rsidR="004165C6" w:rsidRPr="00E239E1" w:rsidRDefault="004165C6" w:rsidP="00D31DF6">
      <w:pPr>
        <w:pStyle w:val="ListParagraph"/>
        <w:numPr>
          <w:ilvl w:val="0"/>
          <w:numId w:val="1"/>
        </w:numPr>
        <w:rPr>
          <w:rFonts w:cs="Poppins"/>
        </w:rPr>
      </w:pPr>
      <w:r w:rsidRPr="00E239E1">
        <w:rPr>
          <w:rFonts w:cs="Poppins"/>
        </w:rPr>
        <w:t xml:space="preserve">Turn to the ‘Developing an Authentic Assessment Matrix’ on pp. 2-3. Complete the Matrix by inputting the score you gave for each dimension, and under ‘Existing Structure(s)’ justify why you scored it this way with reference to the relevant aspects of the current assessment practice.  </w:t>
      </w:r>
    </w:p>
    <w:p w:rsidR="004165C6" w:rsidRPr="00E239E1" w:rsidRDefault="004165C6" w:rsidP="00D31DF6">
      <w:pPr>
        <w:pStyle w:val="ListParagraph"/>
        <w:numPr>
          <w:ilvl w:val="0"/>
          <w:numId w:val="1"/>
        </w:numPr>
        <w:rPr>
          <w:rFonts w:cs="Poppins"/>
        </w:rPr>
      </w:pPr>
      <w:r w:rsidRPr="00E239E1">
        <w:rPr>
          <w:rFonts w:cs="Poppins"/>
        </w:rPr>
        <w:t xml:space="preserve">Consider what measures you might take to amend aspects of the assessment to make it more ‘authentic’. Enter these into the relevant sections of the ‘Suggested Measure(s)’ column. </w:t>
      </w:r>
    </w:p>
    <w:p w:rsidR="00990A59" w:rsidRDefault="004165C6" w:rsidP="00990A59">
      <w:pPr>
        <w:pStyle w:val="ListParagraph"/>
        <w:numPr>
          <w:ilvl w:val="0"/>
          <w:numId w:val="1"/>
        </w:numPr>
        <w:rPr>
          <w:rFonts w:cs="Poppins"/>
        </w:rPr>
      </w:pPr>
      <w:r w:rsidRPr="00E239E1">
        <w:rPr>
          <w:rFonts w:cs="Poppins"/>
        </w:rPr>
        <w:t xml:space="preserve">Return to the chart, open the Data Editor again (see Step 1) and input the new target score based on your amended assessment dimensions. </w:t>
      </w:r>
    </w:p>
    <w:p w:rsidR="00880BAE" w:rsidRPr="00E239E1" w:rsidRDefault="00880BAE" w:rsidP="00880BAE">
      <w:pPr>
        <w:pStyle w:val="ListParagraph"/>
        <w:rPr>
          <w:rFonts w:cs="Poppins"/>
        </w:rPr>
      </w:pPr>
    </w:p>
    <w:p w:rsidR="004165C6" w:rsidRDefault="004165C6" w:rsidP="00CE6958">
      <w:pPr>
        <w:spacing w:after="360"/>
        <w:jc w:val="center"/>
        <w:rPr>
          <w:rFonts w:cs="Poppins"/>
        </w:rPr>
      </w:pPr>
      <w:r>
        <w:rPr>
          <w:noProof/>
        </w:rPr>
        <w:drawing>
          <wp:inline distT="0" distB="0" distL="0" distR="0">
            <wp:extent cx="9287510" cy="5164455"/>
            <wp:effectExtent l="0" t="0" r="8890" b="17145"/>
            <wp:docPr id="1" name="Chart 1" descr="Radar diagram that visually scores the authenticity of a given assessment according to the 9 different dimensions used by CI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65C6" w:rsidRDefault="004165C6" w:rsidP="00477E31">
      <w:pPr>
        <w:spacing w:after="360"/>
        <w:rPr>
          <w:rFonts w:cs="Poppins"/>
        </w:rPr>
      </w:pPr>
    </w:p>
    <w:p w:rsidR="004165C6" w:rsidRPr="004165C6" w:rsidRDefault="004165C6" w:rsidP="001E2F72">
      <w:pPr>
        <w:pStyle w:val="Heading2"/>
      </w:pPr>
      <w:r w:rsidRPr="000A54BD">
        <w:lastRenderedPageBreak/>
        <w:t>Developing an Authentic Assessment Matrix</w:t>
      </w:r>
    </w:p>
    <w:tbl>
      <w:tblPr>
        <w:tblStyle w:val="TableGrid"/>
        <w:tblW w:w="0" w:type="auto"/>
        <w:tblLook w:val="04A0" w:firstRow="1" w:lastRow="0" w:firstColumn="1" w:lastColumn="0" w:noHBand="0" w:noVBand="1"/>
        <w:tblCaption w:val="Title Table"/>
        <w:tblDescription w:val="Table to identify the assessment title, type and whether it is new or existing. "/>
      </w:tblPr>
      <w:tblGrid>
        <w:gridCol w:w="2830"/>
        <w:gridCol w:w="18091"/>
      </w:tblGrid>
      <w:tr w:rsidR="00DB37E6" w:rsidRPr="000A54BD" w:rsidTr="00DB37E6">
        <w:tc>
          <w:tcPr>
            <w:tcW w:w="2830" w:type="dxa"/>
          </w:tcPr>
          <w:p w:rsidR="00DB37E6" w:rsidRPr="000A54BD" w:rsidRDefault="00DB37E6">
            <w:pPr>
              <w:rPr>
                <w:rFonts w:cs="Poppins"/>
                <w:b/>
              </w:rPr>
            </w:pPr>
            <w:r w:rsidRPr="000A54BD">
              <w:rPr>
                <w:rFonts w:cs="Poppins"/>
                <w:b/>
              </w:rPr>
              <w:t xml:space="preserve">Assessment </w:t>
            </w:r>
            <w:bookmarkStart w:id="0" w:name="Title_Table"/>
            <w:bookmarkEnd w:id="0"/>
            <w:r w:rsidRPr="000A54BD">
              <w:rPr>
                <w:rFonts w:cs="Poppins"/>
                <w:b/>
              </w:rPr>
              <w:t>Title</w:t>
            </w:r>
          </w:p>
        </w:tc>
        <w:tc>
          <w:tcPr>
            <w:tcW w:w="18091" w:type="dxa"/>
          </w:tcPr>
          <w:p w:rsidR="00DB37E6" w:rsidRPr="000A54BD" w:rsidRDefault="00DB37E6">
            <w:pPr>
              <w:rPr>
                <w:rFonts w:cs="Poppins"/>
                <w:b/>
              </w:rPr>
            </w:pPr>
          </w:p>
        </w:tc>
      </w:tr>
      <w:tr w:rsidR="00DB37E6" w:rsidRPr="000A54BD" w:rsidTr="00DB37E6">
        <w:tc>
          <w:tcPr>
            <w:tcW w:w="2830" w:type="dxa"/>
          </w:tcPr>
          <w:p w:rsidR="00DB37E6" w:rsidRPr="000A54BD" w:rsidRDefault="00DB37E6">
            <w:pPr>
              <w:rPr>
                <w:rFonts w:cs="Poppins"/>
                <w:b/>
              </w:rPr>
            </w:pPr>
            <w:r w:rsidRPr="000A54BD">
              <w:rPr>
                <w:rFonts w:cs="Poppins"/>
                <w:b/>
              </w:rPr>
              <w:t>Type/Word Count</w:t>
            </w:r>
          </w:p>
        </w:tc>
        <w:tc>
          <w:tcPr>
            <w:tcW w:w="18091" w:type="dxa"/>
          </w:tcPr>
          <w:p w:rsidR="00DB37E6" w:rsidRPr="000A54BD" w:rsidRDefault="00DB37E6">
            <w:pPr>
              <w:rPr>
                <w:rFonts w:cs="Poppins"/>
                <w:b/>
              </w:rPr>
            </w:pPr>
          </w:p>
        </w:tc>
      </w:tr>
      <w:tr w:rsidR="00DB37E6" w:rsidRPr="000A54BD" w:rsidTr="00DB37E6">
        <w:tc>
          <w:tcPr>
            <w:tcW w:w="2830" w:type="dxa"/>
          </w:tcPr>
          <w:p w:rsidR="00DB37E6" w:rsidRPr="000A54BD" w:rsidRDefault="00DB37E6">
            <w:pPr>
              <w:rPr>
                <w:rFonts w:cs="Poppins"/>
                <w:b/>
              </w:rPr>
            </w:pPr>
            <w:r w:rsidRPr="000A54BD">
              <w:rPr>
                <w:rFonts w:cs="Poppins"/>
                <w:b/>
              </w:rPr>
              <w:t>New/Existing</w:t>
            </w:r>
          </w:p>
        </w:tc>
        <w:tc>
          <w:tcPr>
            <w:tcW w:w="18091" w:type="dxa"/>
          </w:tcPr>
          <w:p w:rsidR="00DB37E6" w:rsidRPr="000A54BD" w:rsidRDefault="00DB37E6">
            <w:pPr>
              <w:rPr>
                <w:rFonts w:cs="Poppins"/>
                <w:b/>
              </w:rPr>
            </w:pPr>
          </w:p>
        </w:tc>
      </w:tr>
    </w:tbl>
    <w:p w:rsidR="00DB37E6" w:rsidRPr="000A54BD" w:rsidRDefault="00DB37E6">
      <w:pPr>
        <w:rPr>
          <w:rFonts w:cs="Poppins"/>
          <w:b/>
        </w:rPr>
      </w:pPr>
    </w:p>
    <w:tbl>
      <w:tblPr>
        <w:tblStyle w:val="TableGrid"/>
        <w:tblW w:w="0" w:type="auto"/>
        <w:tblLook w:val="04A0" w:firstRow="1" w:lastRow="0" w:firstColumn="1" w:lastColumn="0" w:noHBand="0" w:noVBand="1"/>
        <w:tblCaption w:val="Matrix Table"/>
        <w:tblDescription w:val="Table to work out the justifications for audit scores, and identify strategies for improving an assessment's authenticity."/>
      </w:tblPr>
      <w:tblGrid>
        <w:gridCol w:w="3407"/>
        <w:gridCol w:w="1691"/>
        <w:gridCol w:w="7655"/>
        <w:gridCol w:w="8168"/>
      </w:tblGrid>
      <w:tr w:rsidR="0005240B" w:rsidRPr="000A54BD" w:rsidTr="000A54BD">
        <w:tc>
          <w:tcPr>
            <w:tcW w:w="3407" w:type="dxa"/>
            <w:vAlign w:val="center"/>
          </w:tcPr>
          <w:p w:rsidR="0005240B" w:rsidRPr="000A54BD" w:rsidRDefault="0005240B" w:rsidP="0005240B">
            <w:pPr>
              <w:jc w:val="center"/>
              <w:rPr>
                <w:rFonts w:cs="Poppins"/>
                <w:b/>
              </w:rPr>
            </w:pPr>
            <w:r w:rsidRPr="000A54BD">
              <w:rPr>
                <w:rFonts w:cs="Poppins"/>
                <w:b/>
              </w:rPr>
              <w:t>St</w:t>
            </w:r>
            <w:bookmarkStart w:id="1" w:name="Matrix_Table"/>
            <w:bookmarkEnd w:id="1"/>
            <w:r w:rsidRPr="000A54BD">
              <w:rPr>
                <w:rFonts w:cs="Poppins"/>
                <w:b/>
              </w:rPr>
              <w:t>ep</w:t>
            </w:r>
          </w:p>
        </w:tc>
        <w:tc>
          <w:tcPr>
            <w:tcW w:w="1691" w:type="dxa"/>
            <w:vAlign w:val="center"/>
          </w:tcPr>
          <w:p w:rsidR="0005240B" w:rsidRPr="000A54BD" w:rsidRDefault="0005240B" w:rsidP="00CC2AC1">
            <w:pPr>
              <w:jc w:val="center"/>
              <w:rPr>
                <w:rFonts w:cs="Poppins"/>
                <w:b/>
              </w:rPr>
            </w:pPr>
            <w:r w:rsidRPr="000A54BD">
              <w:rPr>
                <w:rFonts w:cs="Poppins"/>
                <w:b/>
              </w:rPr>
              <w:t>Audit Score (0-10)</w:t>
            </w:r>
          </w:p>
        </w:tc>
        <w:tc>
          <w:tcPr>
            <w:tcW w:w="7655" w:type="dxa"/>
            <w:vAlign w:val="center"/>
          </w:tcPr>
          <w:p w:rsidR="0005240B" w:rsidRPr="000A54BD" w:rsidRDefault="0005240B" w:rsidP="0005240B">
            <w:pPr>
              <w:jc w:val="center"/>
              <w:rPr>
                <w:rFonts w:cs="Poppins"/>
                <w:b/>
              </w:rPr>
            </w:pPr>
            <w:r w:rsidRPr="000A54BD">
              <w:rPr>
                <w:rFonts w:cs="Poppins"/>
                <w:b/>
              </w:rPr>
              <w:t>Existing Structure(s)</w:t>
            </w:r>
          </w:p>
          <w:p w:rsidR="0005240B" w:rsidRPr="009E2563" w:rsidRDefault="0005240B" w:rsidP="0005240B">
            <w:pPr>
              <w:jc w:val="center"/>
              <w:rPr>
                <w:rFonts w:cs="Poppins"/>
                <w:i/>
              </w:rPr>
            </w:pPr>
            <w:r w:rsidRPr="009E2563">
              <w:rPr>
                <w:rFonts w:cs="Poppins"/>
                <w:i/>
              </w:rPr>
              <w:t xml:space="preserve">Why did you score this assessment </w:t>
            </w:r>
            <w:r w:rsidR="009E2563" w:rsidRPr="009E2563">
              <w:rPr>
                <w:rFonts w:cs="Poppins"/>
                <w:i/>
              </w:rPr>
              <w:t xml:space="preserve">the way you did? </w:t>
            </w:r>
          </w:p>
        </w:tc>
        <w:tc>
          <w:tcPr>
            <w:tcW w:w="8168" w:type="dxa"/>
            <w:vAlign w:val="center"/>
          </w:tcPr>
          <w:p w:rsidR="0005240B" w:rsidRDefault="0005240B" w:rsidP="0005240B">
            <w:pPr>
              <w:jc w:val="center"/>
              <w:rPr>
                <w:rFonts w:cs="Poppins"/>
                <w:b/>
              </w:rPr>
            </w:pPr>
            <w:r w:rsidRPr="000A54BD">
              <w:rPr>
                <w:rFonts w:cs="Poppins"/>
                <w:b/>
              </w:rPr>
              <w:t>Suggested Measure(s)</w:t>
            </w:r>
          </w:p>
          <w:p w:rsidR="009E2563" w:rsidRPr="009E2563" w:rsidRDefault="009E2563" w:rsidP="0005240B">
            <w:pPr>
              <w:jc w:val="center"/>
              <w:rPr>
                <w:rFonts w:cs="Poppins"/>
                <w:i/>
              </w:rPr>
            </w:pPr>
            <w:r w:rsidRPr="009E2563">
              <w:rPr>
                <w:rFonts w:cs="Poppins"/>
                <w:i/>
              </w:rPr>
              <w:t>What might you change about the assessment to improve the score?</w:t>
            </w:r>
          </w:p>
        </w:tc>
      </w:tr>
      <w:tr w:rsidR="0005240B" w:rsidRPr="000A54BD" w:rsidTr="000A54BD">
        <w:tc>
          <w:tcPr>
            <w:tcW w:w="3407" w:type="dxa"/>
          </w:tcPr>
          <w:p w:rsidR="0005240B" w:rsidRDefault="0005240B">
            <w:pPr>
              <w:rPr>
                <w:rFonts w:cs="Poppins"/>
              </w:rPr>
            </w:pPr>
            <w:r w:rsidRPr="000A54BD">
              <w:rPr>
                <w:rFonts w:cs="Poppins"/>
              </w:rPr>
              <w:t>Task Relevance</w:t>
            </w:r>
          </w:p>
          <w:p w:rsidR="00990A59" w:rsidRPr="00CD720C" w:rsidRDefault="00990A59">
            <w:pPr>
              <w:rPr>
                <w:rFonts w:cs="Poppins"/>
                <w:sz w:val="18"/>
              </w:rPr>
            </w:pPr>
          </w:p>
          <w:p w:rsidR="00990A59" w:rsidRPr="00F94039" w:rsidRDefault="0007792F">
            <w:pPr>
              <w:rPr>
                <w:rFonts w:cs="Poppins"/>
              </w:rPr>
            </w:pPr>
            <w:r w:rsidRPr="00F94039">
              <w:rPr>
                <w:rFonts w:cs="Poppins"/>
                <w:sz w:val="18"/>
              </w:rPr>
              <w:t>The assessment is meaningful and relevant to the future aspirations of the student(s).</w:t>
            </w:r>
            <w:r w:rsidRPr="00F94039">
              <w:rPr>
                <w:rFonts w:cs="Poppins"/>
              </w:rPr>
              <w:t xml:space="preserve"> </w:t>
            </w:r>
          </w:p>
        </w:tc>
        <w:tc>
          <w:tcPr>
            <w:tcW w:w="1691" w:type="dxa"/>
          </w:tcPr>
          <w:p w:rsidR="0005240B" w:rsidRPr="000A54BD" w:rsidRDefault="0005240B">
            <w:pPr>
              <w:rPr>
                <w:rFonts w:cs="Poppins"/>
                <w:b/>
              </w:rPr>
            </w:pPr>
          </w:p>
        </w:tc>
        <w:tc>
          <w:tcPr>
            <w:tcW w:w="7655" w:type="dxa"/>
          </w:tcPr>
          <w:p w:rsidR="000A54BD" w:rsidRPr="000A54BD" w:rsidRDefault="00CE6958">
            <w:pPr>
              <w:rPr>
                <w:rFonts w:cs="Poppins"/>
                <w:b/>
              </w:rPr>
            </w:pPr>
            <w:r>
              <w:rPr>
                <w:rFonts w:cs="Poppins"/>
                <w:b/>
              </w:rPr>
              <w:t xml:space="preserve"> </w:t>
            </w: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Task Structure</w:t>
            </w:r>
          </w:p>
          <w:p w:rsidR="0007792F" w:rsidRPr="00CD720C" w:rsidRDefault="0007792F">
            <w:pPr>
              <w:rPr>
                <w:rFonts w:cs="Poppins"/>
                <w:sz w:val="18"/>
              </w:rPr>
            </w:pPr>
          </w:p>
          <w:p w:rsidR="0007792F" w:rsidRPr="00F94039" w:rsidRDefault="0007792F">
            <w:pPr>
              <w:rPr>
                <w:rFonts w:cs="Poppins"/>
                <w:sz w:val="18"/>
                <w:szCs w:val="18"/>
              </w:rPr>
            </w:pPr>
            <w:r w:rsidRPr="00F94039">
              <w:rPr>
                <w:rFonts w:cs="Poppins"/>
                <w:sz w:val="18"/>
                <w:szCs w:val="18"/>
              </w:rPr>
              <w:t xml:space="preserve">The assessment involves tasks with open structures or open-ended solutions, which require the student to draw knowledge and skills from multiple units of study already undertaken (such as their other modules). </w:t>
            </w:r>
          </w:p>
        </w:tc>
        <w:tc>
          <w:tcPr>
            <w:tcW w:w="1691" w:type="dxa"/>
          </w:tcPr>
          <w:p w:rsidR="0005240B" w:rsidRPr="000A54BD" w:rsidRDefault="0005240B">
            <w:pPr>
              <w:rPr>
                <w:rFonts w:cs="Poppins"/>
                <w:b/>
              </w:rPr>
            </w:pPr>
          </w:p>
        </w:tc>
        <w:tc>
          <w:tcPr>
            <w:tcW w:w="7655" w:type="dxa"/>
          </w:tcPr>
          <w:p w:rsidR="00CE6958" w:rsidRPr="000A54BD" w:rsidRDefault="00CE6958"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Environment</w:t>
            </w:r>
          </w:p>
          <w:p w:rsidR="0007792F" w:rsidRPr="00CD720C" w:rsidRDefault="0007792F">
            <w:pPr>
              <w:rPr>
                <w:rFonts w:cs="Poppins"/>
                <w:sz w:val="18"/>
              </w:rPr>
            </w:pPr>
          </w:p>
          <w:p w:rsidR="0007792F" w:rsidRPr="00F94039" w:rsidRDefault="0007792F">
            <w:pPr>
              <w:rPr>
                <w:rFonts w:cs="Poppins"/>
                <w:sz w:val="18"/>
                <w:szCs w:val="18"/>
              </w:rPr>
            </w:pPr>
            <w:r w:rsidRPr="00F94039">
              <w:rPr>
                <w:rFonts w:cs="Poppins"/>
                <w:sz w:val="18"/>
                <w:szCs w:val="18"/>
              </w:rPr>
              <w:t xml:space="preserve">The assessment takes place in a similar or simulated environment to the real-world setting, drawing on resources and tools appropriate to that environment (e.g. documents, data, tools or research). </w:t>
            </w:r>
          </w:p>
        </w:tc>
        <w:tc>
          <w:tcPr>
            <w:tcW w:w="1691" w:type="dxa"/>
          </w:tcPr>
          <w:p w:rsidR="0005240B" w:rsidRPr="000A54BD" w:rsidRDefault="0005240B">
            <w:pPr>
              <w:rPr>
                <w:rFonts w:cs="Poppins"/>
                <w:b/>
              </w:rPr>
            </w:pPr>
          </w:p>
        </w:tc>
        <w:tc>
          <w:tcPr>
            <w:tcW w:w="7655" w:type="dxa"/>
          </w:tcPr>
          <w:p w:rsidR="000A54BD" w:rsidRPr="000A54BD" w:rsidRDefault="000A54BD"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 xml:space="preserve">Collaboration </w:t>
            </w:r>
          </w:p>
          <w:p w:rsidR="0007792F" w:rsidRPr="00CD720C" w:rsidRDefault="0007792F">
            <w:pPr>
              <w:rPr>
                <w:rFonts w:cs="Poppins"/>
                <w:sz w:val="18"/>
              </w:rPr>
            </w:pPr>
          </w:p>
          <w:p w:rsidR="0007792F" w:rsidRPr="00F94039" w:rsidRDefault="0007792F">
            <w:pPr>
              <w:rPr>
                <w:rFonts w:cs="Poppins"/>
              </w:rPr>
            </w:pPr>
            <w:r w:rsidRPr="00F94039">
              <w:rPr>
                <w:rFonts w:cs="Poppins"/>
                <w:sz w:val="18"/>
              </w:rPr>
              <w:t xml:space="preserve">The assessment task involves collaboration similar to </w:t>
            </w:r>
            <w:r w:rsidR="00E239E1" w:rsidRPr="00F94039">
              <w:rPr>
                <w:rFonts w:cs="Poppins"/>
                <w:sz w:val="18"/>
              </w:rPr>
              <w:t>that experienced by practitioners, professionals or experts in the field.</w:t>
            </w:r>
          </w:p>
        </w:tc>
        <w:tc>
          <w:tcPr>
            <w:tcW w:w="1691" w:type="dxa"/>
          </w:tcPr>
          <w:p w:rsidR="0005240B" w:rsidRPr="000A54BD" w:rsidRDefault="0005240B">
            <w:pPr>
              <w:rPr>
                <w:rFonts w:cs="Poppins"/>
                <w:b/>
              </w:rPr>
            </w:pPr>
          </w:p>
        </w:tc>
        <w:tc>
          <w:tcPr>
            <w:tcW w:w="7655" w:type="dxa"/>
          </w:tcPr>
          <w:p w:rsidR="000A54BD" w:rsidRPr="000A54BD" w:rsidRDefault="000A54BD"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Authenticity to Graduate(s)</w:t>
            </w:r>
          </w:p>
          <w:p w:rsidR="00E239E1" w:rsidRPr="00CD720C" w:rsidRDefault="00E239E1">
            <w:pPr>
              <w:rPr>
                <w:rFonts w:cs="Poppins"/>
                <w:sz w:val="18"/>
              </w:rPr>
            </w:pPr>
          </w:p>
          <w:p w:rsidR="00E239E1" w:rsidRPr="00E239E1" w:rsidRDefault="00E239E1">
            <w:pPr>
              <w:rPr>
                <w:rFonts w:cs="Poppins"/>
                <w:i/>
              </w:rPr>
            </w:pPr>
            <w:r w:rsidRPr="00F94039">
              <w:rPr>
                <w:rFonts w:cs="Poppins"/>
                <w:sz w:val="18"/>
              </w:rPr>
              <w:t>The assessment task requires the development of knowledge, skills, attributes, products or</w:t>
            </w:r>
            <w:r w:rsidRPr="00E239E1">
              <w:rPr>
                <w:rFonts w:cs="Poppins"/>
                <w:i/>
                <w:sz w:val="18"/>
              </w:rPr>
              <w:t xml:space="preserve"> </w:t>
            </w:r>
            <w:r w:rsidRPr="00F94039">
              <w:rPr>
                <w:rFonts w:cs="Poppins"/>
                <w:sz w:val="18"/>
              </w:rPr>
              <w:t>performance that could be, or is, recognised as authentic by the practitioner, professional, or expert in the field.</w:t>
            </w:r>
            <w:r w:rsidRPr="00E239E1">
              <w:rPr>
                <w:rFonts w:cs="Poppins"/>
                <w:i/>
                <w:sz w:val="18"/>
              </w:rPr>
              <w:t xml:space="preserve"> </w:t>
            </w:r>
          </w:p>
        </w:tc>
        <w:tc>
          <w:tcPr>
            <w:tcW w:w="1691" w:type="dxa"/>
          </w:tcPr>
          <w:p w:rsidR="0005240B" w:rsidRPr="000A54BD" w:rsidRDefault="0005240B">
            <w:pPr>
              <w:rPr>
                <w:rFonts w:cs="Poppins"/>
                <w:b/>
              </w:rPr>
            </w:pPr>
          </w:p>
        </w:tc>
        <w:tc>
          <w:tcPr>
            <w:tcW w:w="7655" w:type="dxa"/>
          </w:tcPr>
          <w:p w:rsidR="000A54BD" w:rsidRPr="000A54BD" w:rsidRDefault="000A54BD"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Synthesis of Skills, Knowledge or Attributes</w:t>
            </w:r>
          </w:p>
          <w:p w:rsidR="00CD720C" w:rsidRPr="00CD720C" w:rsidRDefault="00CD720C">
            <w:pPr>
              <w:rPr>
                <w:rFonts w:cs="Poppins"/>
                <w:sz w:val="18"/>
              </w:rPr>
            </w:pPr>
          </w:p>
          <w:p w:rsidR="00CD720C" w:rsidRPr="00F94039" w:rsidRDefault="00CD720C">
            <w:pPr>
              <w:rPr>
                <w:rFonts w:cs="Poppins"/>
              </w:rPr>
            </w:pPr>
            <w:r w:rsidRPr="00F94039">
              <w:rPr>
                <w:rFonts w:cs="Poppins"/>
                <w:sz w:val="18"/>
              </w:rPr>
              <w:lastRenderedPageBreak/>
              <w:t>Students are required to demonstrate their ability to analyse the task and synthesise, from the range of skills, knowledge and attributes that they have acquired, those necessary for the completion of a specific outcome.</w:t>
            </w:r>
          </w:p>
        </w:tc>
        <w:tc>
          <w:tcPr>
            <w:tcW w:w="1691" w:type="dxa"/>
          </w:tcPr>
          <w:p w:rsidR="0005240B" w:rsidRPr="000A54BD" w:rsidRDefault="0005240B">
            <w:pPr>
              <w:rPr>
                <w:rFonts w:cs="Poppins"/>
                <w:b/>
              </w:rPr>
            </w:pPr>
          </w:p>
        </w:tc>
        <w:tc>
          <w:tcPr>
            <w:tcW w:w="7655" w:type="dxa"/>
          </w:tcPr>
          <w:p w:rsidR="000A54BD" w:rsidRPr="000A54BD" w:rsidRDefault="000A54BD"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Metacognition</w:t>
            </w:r>
          </w:p>
          <w:p w:rsidR="00CD720C" w:rsidRPr="00CD720C" w:rsidRDefault="00CD720C">
            <w:pPr>
              <w:rPr>
                <w:rFonts w:cs="Poppins"/>
                <w:sz w:val="18"/>
              </w:rPr>
            </w:pPr>
          </w:p>
          <w:p w:rsidR="00CD720C" w:rsidRPr="00F94039" w:rsidRDefault="00CD720C">
            <w:pPr>
              <w:rPr>
                <w:rFonts w:cs="Poppins"/>
              </w:rPr>
            </w:pPr>
            <w:r w:rsidRPr="00F94039">
              <w:rPr>
                <w:rFonts w:cs="Poppins"/>
                <w:sz w:val="18"/>
              </w:rPr>
              <w:t>The assessment task requires students to demonstrate metacognition by means of critical reflection, self-assessment or evaluation. As such, it usually involves elements of self- and peer-review as an explicit part of the assessment process.</w:t>
            </w:r>
          </w:p>
        </w:tc>
        <w:tc>
          <w:tcPr>
            <w:tcW w:w="1691" w:type="dxa"/>
          </w:tcPr>
          <w:p w:rsidR="0005240B" w:rsidRPr="000A54BD" w:rsidRDefault="0005240B">
            <w:pPr>
              <w:rPr>
                <w:rFonts w:cs="Poppins"/>
                <w:b/>
              </w:rPr>
            </w:pPr>
          </w:p>
        </w:tc>
        <w:tc>
          <w:tcPr>
            <w:tcW w:w="7655" w:type="dxa"/>
          </w:tcPr>
          <w:p w:rsidR="009E2563" w:rsidRPr="000A54BD" w:rsidRDefault="009E2563"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Ownership</w:t>
            </w:r>
          </w:p>
          <w:p w:rsidR="00CD720C" w:rsidRPr="00CD720C" w:rsidRDefault="00CD720C">
            <w:pPr>
              <w:rPr>
                <w:rFonts w:cs="Poppins"/>
                <w:sz w:val="18"/>
              </w:rPr>
            </w:pPr>
          </w:p>
          <w:p w:rsidR="00CD720C" w:rsidRPr="00F94039" w:rsidRDefault="00CD720C">
            <w:pPr>
              <w:rPr>
                <w:rFonts w:cs="Poppins"/>
              </w:rPr>
            </w:pPr>
            <w:r w:rsidRPr="00F94039">
              <w:rPr>
                <w:rFonts w:cs="Poppins"/>
                <w:sz w:val="18"/>
              </w:rPr>
              <w:t>Students have some degree of ownership of/within the task. For example, they may negotiate the subject focus of the task, or have freedom in choosing the format, tools used or assessment criteria.</w:t>
            </w:r>
          </w:p>
        </w:tc>
        <w:tc>
          <w:tcPr>
            <w:tcW w:w="1691" w:type="dxa"/>
          </w:tcPr>
          <w:p w:rsidR="0005240B" w:rsidRPr="000A54BD" w:rsidRDefault="0005240B">
            <w:pPr>
              <w:rPr>
                <w:rFonts w:cs="Poppins"/>
                <w:b/>
              </w:rPr>
            </w:pPr>
          </w:p>
        </w:tc>
        <w:tc>
          <w:tcPr>
            <w:tcW w:w="7655" w:type="dxa"/>
          </w:tcPr>
          <w:p w:rsidR="000A54BD" w:rsidRPr="000A54BD" w:rsidRDefault="000A54BD" w:rsidP="00F37F25">
            <w:pPr>
              <w:rPr>
                <w:rFonts w:cs="Poppins"/>
                <w:b/>
              </w:rPr>
            </w:pPr>
          </w:p>
        </w:tc>
        <w:tc>
          <w:tcPr>
            <w:tcW w:w="8168" w:type="dxa"/>
          </w:tcPr>
          <w:p w:rsidR="0005240B" w:rsidRPr="000A54BD" w:rsidRDefault="0005240B">
            <w:pPr>
              <w:rPr>
                <w:rFonts w:cs="Poppins"/>
                <w:b/>
              </w:rPr>
            </w:pPr>
          </w:p>
        </w:tc>
      </w:tr>
      <w:tr w:rsidR="0005240B" w:rsidRPr="000A54BD" w:rsidTr="000A54BD">
        <w:tc>
          <w:tcPr>
            <w:tcW w:w="3407" w:type="dxa"/>
          </w:tcPr>
          <w:p w:rsidR="0005240B" w:rsidRDefault="0005240B">
            <w:pPr>
              <w:rPr>
                <w:rFonts w:cs="Poppins"/>
              </w:rPr>
            </w:pPr>
            <w:r w:rsidRPr="000A54BD">
              <w:rPr>
                <w:rFonts w:cs="Poppins"/>
              </w:rPr>
              <w:t xml:space="preserve">Tradition of </w:t>
            </w:r>
            <w:r w:rsidR="00CD720C">
              <w:rPr>
                <w:rFonts w:cs="Poppins"/>
              </w:rPr>
              <w:t>F</w:t>
            </w:r>
            <w:r w:rsidRPr="000A54BD">
              <w:rPr>
                <w:rFonts w:cs="Poppins"/>
              </w:rPr>
              <w:t>ormat</w:t>
            </w:r>
          </w:p>
          <w:p w:rsidR="00CD720C" w:rsidRDefault="00CD720C">
            <w:pPr>
              <w:rPr>
                <w:rFonts w:cs="Poppins"/>
                <w:sz w:val="18"/>
              </w:rPr>
            </w:pPr>
          </w:p>
          <w:p w:rsidR="00CD720C" w:rsidRPr="00F94039" w:rsidRDefault="00CD720C">
            <w:pPr>
              <w:rPr>
                <w:rFonts w:cs="Poppins"/>
                <w:sz w:val="18"/>
              </w:rPr>
            </w:pPr>
            <w:r w:rsidRPr="00F94039">
              <w:rPr>
                <w:rFonts w:cs="Poppins"/>
                <w:sz w:val="18"/>
              </w:rPr>
              <w:t>The assessment task is usually presented via more non-traditional assessment methods (e.g. beyond exams and MCQs) and at different assessment points (versus a one-off).</w:t>
            </w:r>
          </w:p>
          <w:p w:rsidR="00CD720C" w:rsidRPr="000A54BD" w:rsidRDefault="00CD720C">
            <w:pPr>
              <w:rPr>
                <w:rFonts w:cs="Poppins"/>
              </w:rPr>
            </w:pPr>
          </w:p>
        </w:tc>
        <w:tc>
          <w:tcPr>
            <w:tcW w:w="1691" w:type="dxa"/>
          </w:tcPr>
          <w:p w:rsidR="0005240B" w:rsidRPr="000A54BD" w:rsidRDefault="0005240B">
            <w:pPr>
              <w:rPr>
                <w:rFonts w:cs="Poppins"/>
                <w:b/>
              </w:rPr>
            </w:pPr>
          </w:p>
        </w:tc>
        <w:tc>
          <w:tcPr>
            <w:tcW w:w="7655" w:type="dxa"/>
          </w:tcPr>
          <w:p w:rsidR="00CC2AC1" w:rsidRPr="000A54BD" w:rsidRDefault="00CC2AC1" w:rsidP="00F37F25">
            <w:pPr>
              <w:rPr>
                <w:rFonts w:cs="Poppins"/>
                <w:b/>
              </w:rPr>
            </w:pPr>
            <w:bookmarkStart w:id="2" w:name="_GoBack"/>
            <w:bookmarkEnd w:id="2"/>
          </w:p>
        </w:tc>
        <w:tc>
          <w:tcPr>
            <w:tcW w:w="8168" w:type="dxa"/>
          </w:tcPr>
          <w:p w:rsidR="0005240B" w:rsidRPr="000A54BD" w:rsidRDefault="0005240B">
            <w:pPr>
              <w:rPr>
                <w:rFonts w:cs="Poppins"/>
                <w:b/>
              </w:rPr>
            </w:pPr>
          </w:p>
        </w:tc>
      </w:tr>
    </w:tbl>
    <w:p w:rsidR="00DB37E6" w:rsidRPr="00CD720C" w:rsidRDefault="00DB37E6">
      <w:pPr>
        <w:rPr>
          <w:rFonts w:cs="Poppins"/>
          <w:b/>
          <w:sz w:val="6"/>
        </w:rPr>
      </w:pPr>
    </w:p>
    <w:sectPr w:rsidR="00DB37E6" w:rsidRPr="00CD720C" w:rsidSect="00372DEA">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17" w:rsidRDefault="00601A17" w:rsidP="0005240B">
      <w:pPr>
        <w:spacing w:after="0" w:line="240" w:lineRule="auto"/>
      </w:pPr>
      <w:r>
        <w:separator/>
      </w:r>
    </w:p>
  </w:endnote>
  <w:endnote w:type="continuationSeparator" w:id="0">
    <w:p w:rsidR="00601A17" w:rsidRDefault="00601A17" w:rsidP="0005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17" w:rsidRDefault="00601A17" w:rsidP="0005240B">
      <w:pPr>
        <w:spacing w:after="0" w:line="240" w:lineRule="auto"/>
      </w:pPr>
      <w:r>
        <w:separator/>
      </w:r>
    </w:p>
  </w:footnote>
  <w:footnote w:type="continuationSeparator" w:id="0">
    <w:p w:rsidR="00601A17" w:rsidRDefault="00601A17" w:rsidP="0005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CE" w:rsidRDefault="00EA36CE" w:rsidP="00EA36CE">
    <w:pPr>
      <w:pStyle w:val="Header"/>
      <w:spacing w:after="400"/>
    </w:pPr>
    <w:r>
      <w:rPr>
        <w:noProof/>
      </w:rPr>
      <w:ptab w:relativeTo="margin" w:alignment="left" w:leader="none"/>
    </w:r>
    <w:r>
      <w:rPr>
        <w:noProof/>
      </w:rPr>
      <w:drawing>
        <wp:inline distT="0" distB="0" distL="0" distR="0" wp14:anchorId="03FFD990" wp14:editId="094A2423">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60D24F7D" wp14:editId="7F4067B7">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E0583"/>
    <w:multiLevelType w:val="hybridMultilevel"/>
    <w:tmpl w:val="E8C09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EA"/>
    <w:rsid w:val="00051BA1"/>
    <w:rsid w:val="0005240B"/>
    <w:rsid w:val="0007792F"/>
    <w:rsid w:val="00081E2C"/>
    <w:rsid w:val="000A54BD"/>
    <w:rsid w:val="001671D4"/>
    <w:rsid w:val="00177356"/>
    <w:rsid w:val="001877FD"/>
    <w:rsid w:val="001E1FCA"/>
    <w:rsid w:val="001E2F72"/>
    <w:rsid w:val="003035F7"/>
    <w:rsid w:val="0033629F"/>
    <w:rsid w:val="00372DEA"/>
    <w:rsid w:val="003945EB"/>
    <w:rsid w:val="004165C6"/>
    <w:rsid w:val="00477E31"/>
    <w:rsid w:val="00601A17"/>
    <w:rsid w:val="0060312B"/>
    <w:rsid w:val="00880BAE"/>
    <w:rsid w:val="00925DB4"/>
    <w:rsid w:val="00987F91"/>
    <w:rsid w:val="00990A59"/>
    <w:rsid w:val="009E2563"/>
    <w:rsid w:val="00A52AC7"/>
    <w:rsid w:val="00B33B3B"/>
    <w:rsid w:val="00B404D1"/>
    <w:rsid w:val="00BD1ADA"/>
    <w:rsid w:val="00C222BB"/>
    <w:rsid w:val="00CA5A0C"/>
    <w:rsid w:val="00CC2AC1"/>
    <w:rsid w:val="00CC585A"/>
    <w:rsid w:val="00CD720C"/>
    <w:rsid w:val="00CE6958"/>
    <w:rsid w:val="00D31DF6"/>
    <w:rsid w:val="00D904B9"/>
    <w:rsid w:val="00DB37E6"/>
    <w:rsid w:val="00E239E1"/>
    <w:rsid w:val="00E75CF6"/>
    <w:rsid w:val="00EA36CE"/>
    <w:rsid w:val="00EB1B97"/>
    <w:rsid w:val="00F37F25"/>
    <w:rsid w:val="00F67DF9"/>
    <w:rsid w:val="00F94039"/>
    <w:rsid w:val="00FD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E2F1"/>
  <w15:chartTrackingRefBased/>
  <w15:docId w15:val="{347E2E26-7F42-483B-AB36-71BEC596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85A"/>
    <w:rPr>
      <w:rFonts w:ascii="Poppins" w:hAnsi="Poppins"/>
      <w:sz w:val="20"/>
    </w:rPr>
  </w:style>
  <w:style w:type="paragraph" w:styleId="Heading1">
    <w:name w:val="heading 1"/>
    <w:basedOn w:val="Normal"/>
    <w:next w:val="Normal"/>
    <w:link w:val="Heading1Char"/>
    <w:uiPriority w:val="9"/>
    <w:qFormat/>
    <w:rsid w:val="001E1FCA"/>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FCA"/>
    <w:pPr>
      <w:keepNext/>
      <w:keepLines/>
      <w:spacing w:after="120"/>
      <w:outlineLvl w:val="1"/>
    </w:pPr>
    <w:rPr>
      <w:rFonts w:eastAsiaTheme="majorEastAsia"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E31"/>
    <w:rPr>
      <w:color w:val="0563C1" w:themeColor="hyperlink"/>
      <w:u w:val="single"/>
    </w:rPr>
  </w:style>
  <w:style w:type="character" w:styleId="UnresolvedMention">
    <w:name w:val="Unresolved Mention"/>
    <w:basedOn w:val="DefaultParagraphFont"/>
    <w:uiPriority w:val="99"/>
    <w:semiHidden/>
    <w:unhideWhenUsed/>
    <w:rsid w:val="00477E31"/>
    <w:rPr>
      <w:color w:val="605E5C"/>
      <w:shd w:val="clear" w:color="auto" w:fill="E1DFDD"/>
    </w:rPr>
  </w:style>
  <w:style w:type="paragraph" w:styleId="Header">
    <w:name w:val="header"/>
    <w:basedOn w:val="Normal"/>
    <w:link w:val="HeaderChar"/>
    <w:uiPriority w:val="99"/>
    <w:unhideWhenUsed/>
    <w:rsid w:val="0005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0B"/>
  </w:style>
  <w:style w:type="paragraph" w:styleId="Footer">
    <w:name w:val="footer"/>
    <w:basedOn w:val="Normal"/>
    <w:link w:val="FooterChar"/>
    <w:uiPriority w:val="99"/>
    <w:unhideWhenUsed/>
    <w:rsid w:val="0005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40B"/>
  </w:style>
  <w:style w:type="paragraph" w:styleId="ListParagraph">
    <w:name w:val="List Paragraph"/>
    <w:basedOn w:val="Normal"/>
    <w:uiPriority w:val="34"/>
    <w:qFormat/>
    <w:rsid w:val="00D31DF6"/>
    <w:pPr>
      <w:ind w:left="720"/>
      <w:contextualSpacing/>
    </w:pPr>
  </w:style>
  <w:style w:type="paragraph" w:styleId="Caption">
    <w:name w:val="caption"/>
    <w:basedOn w:val="Normal"/>
    <w:next w:val="Normal"/>
    <w:uiPriority w:val="35"/>
    <w:unhideWhenUsed/>
    <w:qFormat/>
    <w:rsid w:val="00CE695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90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9"/>
    <w:rPr>
      <w:rFonts w:ascii="Segoe UI" w:hAnsi="Segoe UI" w:cs="Segoe UI"/>
      <w:sz w:val="18"/>
      <w:szCs w:val="18"/>
    </w:rPr>
  </w:style>
  <w:style w:type="character" w:customStyle="1" w:styleId="Heading1Char">
    <w:name w:val="Heading 1 Char"/>
    <w:basedOn w:val="DefaultParagraphFont"/>
    <w:link w:val="Heading1"/>
    <w:uiPriority w:val="9"/>
    <w:rsid w:val="001E1FCA"/>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1E1FCA"/>
    <w:rPr>
      <w:rFonts w:ascii="Poppins" w:eastAsiaTheme="majorEastAsia" w:hAnsi="Poppins" w:cstheme="majorBidi"/>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'Audit'</a:t>
            </a:r>
            <a:r>
              <a:rPr lang="en-GB" baseline="0"/>
              <a:t> Your Assessment Task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pt idx="0">
                  <c:v>Current Score</c:v>
                </c:pt>
              </c:strCache>
            </c:strRef>
          </c:tx>
          <c:spPr>
            <a:ln w="28575" cap="rnd">
              <a:solidFill>
                <a:schemeClr val="accent1"/>
              </a:solidFill>
              <a:round/>
            </a:ln>
            <a:effectLst/>
          </c:spPr>
          <c:marker>
            <c:symbol val="none"/>
          </c:marker>
          <c:cat>
            <c:strRef>
              <c:f>Sheet1!$A$2:$A$10</c:f>
              <c:strCache>
                <c:ptCount val="9"/>
                <c:pt idx="0">
                  <c:v>Task Relevance</c:v>
                </c:pt>
                <c:pt idx="1">
                  <c:v>Task Structure</c:v>
                </c:pt>
                <c:pt idx="2">
                  <c:v>Environment</c:v>
                </c:pt>
                <c:pt idx="3">
                  <c:v>Collaboration</c:v>
                </c:pt>
                <c:pt idx="4">
                  <c:v>Authentic Graduate Task</c:v>
                </c:pt>
                <c:pt idx="5">
                  <c:v>Synthesis of Skills, Knowledge and Attributes</c:v>
                </c:pt>
                <c:pt idx="6">
                  <c:v>Metacognition</c:v>
                </c:pt>
                <c:pt idx="7">
                  <c:v>Ownership</c:v>
                </c:pt>
                <c:pt idx="8">
                  <c:v>Tradition of Formats</c:v>
                </c:pt>
              </c:strCache>
            </c:strRef>
          </c:cat>
          <c:val>
            <c:numRef>
              <c:f>Sheet1!$B$2:$B$10</c:f>
              <c:numCache>
                <c:formatCode>General</c:formatCode>
                <c:ptCount val="9"/>
              </c:numCache>
            </c:numRef>
          </c:val>
          <c:extLst>
            <c:ext xmlns:c16="http://schemas.microsoft.com/office/drawing/2014/chart" uri="{C3380CC4-5D6E-409C-BE32-E72D297353CC}">
              <c16:uniqueId val="{00000000-F918-464A-B6E2-35A318AD1DF9}"/>
            </c:ext>
          </c:extLst>
        </c:ser>
        <c:ser>
          <c:idx val="1"/>
          <c:order val="1"/>
          <c:tx>
            <c:strRef>
              <c:f>Sheet1!$C$1</c:f>
              <c:strCache>
                <c:ptCount val="1"/>
                <c:pt idx="0">
                  <c:v>Target Score</c:v>
                </c:pt>
              </c:strCache>
            </c:strRef>
          </c:tx>
          <c:spPr>
            <a:ln w="28575" cap="rnd">
              <a:solidFill>
                <a:schemeClr val="accent2"/>
              </a:solidFill>
              <a:round/>
            </a:ln>
            <a:effectLst/>
          </c:spPr>
          <c:marker>
            <c:symbol val="none"/>
          </c:marker>
          <c:cat>
            <c:strRef>
              <c:f>Sheet1!$A$2:$A$10</c:f>
              <c:strCache>
                <c:ptCount val="9"/>
                <c:pt idx="0">
                  <c:v>Task Relevance</c:v>
                </c:pt>
                <c:pt idx="1">
                  <c:v>Task Structure</c:v>
                </c:pt>
                <c:pt idx="2">
                  <c:v>Environment</c:v>
                </c:pt>
                <c:pt idx="3">
                  <c:v>Collaboration</c:v>
                </c:pt>
                <c:pt idx="4">
                  <c:v>Authentic Graduate Task</c:v>
                </c:pt>
                <c:pt idx="5">
                  <c:v>Synthesis of Skills, Knowledge and Attributes</c:v>
                </c:pt>
                <c:pt idx="6">
                  <c:v>Metacognition</c:v>
                </c:pt>
                <c:pt idx="7">
                  <c:v>Ownership</c:v>
                </c:pt>
                <c:pt idx="8">
                  <c:v>Tradition of Formats</c:v>
                </c:pt>
              </c:strCache>
            </c:strRef>
          </c:cat>
          <c:val>
            <c:numRef>
              <c:f>Sheet1!$C$2:$C$10</c:f>
              <c:numCache>
                <c:formatCode>General</c:formatCode>
                <c:ptCount val="9"/>
              </c:numCache>
            </c:numRef>
          </c:val>
          <c:extLst>
            <c:ext xmlns:c16="http://schemas.microsoft.com/office/drawing/2014/chart" uri="{C3380CC4-5D6E-409C-BE32-E72D297353CC}">
              <c16:uniqueId val="{00000001-F918-464A-B6E2-35A318AD1DF9}"/>
            </c:ext>
          </c:extLst>
        </c:ser>
        <c:dLbls>
          <c:showLegendKey val="0"/>
          <c:showVal val="0"/>
          <c:showCatName val="0"/>
          <c:showSerName val="0"/>
          <c:showPercent val="0"/>
          <c:showBubbleSize val="0"/>
        </c:dLbls>
        <c:axId val="767477280"/>
        <c:axId val="779405904"/>
      </c:radarChart>
      <c:catAx>
        <c:axId val="7674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405904"/>
        <c:crosses val="autoZero"/>
        <c:auto val="1"/>
        <c:lblAlgn val="ctr"/>
        <c:lblOffset val="100"/>
        <c:noMultiLvlLbl val="0"/>
      </c:catAx>
      <c:valAx>
        <c:axId val="7794059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7477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1C8C-CFF8-4F43-BF34-FF3940EE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Developing an Authentic Assessment ‘Audit’</vt:lpstr>
    </vt:vector>
  </TitlesOfParts>
  <Company>The University of Liverpool</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Authentic Assessment ‘Audit’</dc:title>
  <dc:subject/>
  <dc:creator>Saunders, Samuel</dc:creator>
  <cp:keywords/>
  <dc:description/>
  <cp:lastModifiedBy>Wong, Dennis [dennisw]</cp:lastModifiedBy>
  <cp:revision>23</cp:revision>
  <cp:lastPrinted>2022-12-05T08:59:00Z</cp:lastPrinted>
  <dcterms:created xsi:type="dcterms:W3CDTF">2022-11-15T14:51:00Z</dcterms:created>
  <dcterms:modified xsi:type="dcterms:W3CDTF">2023-07-07T15:31:00Z</dcterms:modified>
</cp:coreProperties>
</file>